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A1FBA" w14:textId="600B389E" w:rsidR="00B84CA8" w:rsidRPr="00B84CA8" w:rsidRDefault="00B84CA8" w:rsidP="00B84CA8">
      <w:pPr>
        <w:jc w:val="center"/>
        <w:rPr>
          <w:rFonts w:cs="Arial"/>
          <w:b/>
          <w:bCs/>
        </w:rPr>
      </w:pPr>
      <w:r w:rsidRPr="479B4B9A">
        <w:rPr>
          <w:rFonts w:cs="Arial"/>
          <w:b/>
          <w:bCs/>
        </w:rPr>
        <w:t xml:space="preserve">Taith </w:t>
      </w:r>
      <w:r w:rsidR="0499C453" w:rsidRPr="479B4B9A">
        <w:rPr>
          <w:rFonts w:cs="Arial"/>
          <w:b/>
          <w:bCs/>
        </w:rPr>
        <w:t>I</w:t>
      </w:r>
      <w:r w:rsidRPr="479B4B9A">
        <w:rPr>
          <w:rFonts w:cs="Arial"/>
          <w:b/>
          <w:bCs/>
        </w:rPr>
        <w:t xml:space="preserve">nformation </w:t>
      </w:r>
      <w:r w:rsidR="2059F9E6" w:rsidRPr="479B4B9A">
        <w:rPr>
          <w:rFonts w:cs="Arial"/>
          <w:b/>
          <w:bCs/>
        </w:rPr>
        <w:t>C</w:t>
      </w:r>
      <w:r w:rsidRPr="479B4B9A">
        <w:rPr>
          <w:rFonts w:cs="Arial"/>
          <w:b/>
          <w:bCs/>
        </w:rPr>
        <w:t xml:space="preserve">harging </w:t>
      </w:r>
      <w:r w:rsidR="23002CD0" w:rsidRPr="479B4B9A">
        <w:rPr>
          <w:rFonts w:cs="Arial"/>
          <w:b/>
          <w:bCs/>
        </w:rPr>
        <w:t>P</w:t>
      </w:r>
      <w:r w:rsidRPr="479B4B9A">
        <w:rPr>
          <w:rFonts w:cs="Arial"/>
          <w:b/>
          <w:bCs/>
        </w:rPr>
        <w:t>olicy</w:t>
      </w:r>
    </w:p>
    <w:p w14:paraId="218FDA52" w14:textId="465249A0" w:rsidR="00B84CA8" w:rsidRPr="00B84CA8" w:rsidRDefault="00B84CA8" w:rsidP="00B84CA8">
      <w:pPr>
        <w:pStyle w:val="ListParagraph"/>
        <w:numPr>
          <w:ilvl w:val="0"/>
          <w:numId w:val="2"/>
        </w:numPr>
        <w:rPr>
          <w:rFonts w:cs="Arial"/>
          <w:b/>
          <w:bCs/>
        </w:rPr>
      </w:pPr>
      <w:r>
        <w:rPr>
          <w:rFonts w:cs="Arial"/>
          <w:b/>
          <w:bCs/>
        </w:rPr>
        <w:t>Purpose</w:t>
      </w:r>
    </w:p>
    <w:p w14:paraId="5A70A3E7" w14:textId="77777777" w:rsidR="00B84CA8" w:rsidRDefault="00B84CA8" w:rsidP="00B84CA8">
      <w:pPr>
        <w:rPr>
          <w:rFonts w:cs="Arial"/>
        </w:rPr>
      </w:pPr>
    </w:p>
    <w:p w14:paraId="5D6C0C10" w14:textId="7BBD59AB" w:rsidR="00B84CA8" w:rsidRPr="00B84CA8" w:rsidRDefault="00B84CA8" w:rsidP="00B84CA8">
      <w:pPr>
        <w:rPr>
          <w:rFonts w:cs="Arial"/>
        </w:rPr>
      </w:pPr>
      <w:r w:rsidRPr="00B84CA8">
        <w:rPr>
          <w:rFonts w:cs="Arial"/>
        </w:rPr>
        <w:t xml:space="preserve">The purpose of this policy is to clarify the legislative provisions on charging, the internal allocation of responsibilities and duties and to provide a public framework as </w:t>
      </w:r>
    </w:p>
    <w:p w14:paraId="1517A565" w14:textId="77777777" w:rsidR="00B84CA8" w:rsidRDefault="00B84CA8" w:rsidP="00B84CA8">
      <w:pPr>
        <w:rPr>
          <w:rFonts w:cs="Arial"/>
        </w:rPr>
      </w:pPr>
      <w:r w:rsidRPr="00B84CA8">
        <w:rPr>
          <w:rFonts w:cs="Arial"/>
        </w:rPr>
        <w:t>to the likely charges applicable.</w:t>
      </w:r>
    </w:p>
    <w:p w14:paraId="52C16D24" w14:textId="77777777" w:rsidR="00B84CA8" w:rsidRPr="00B84CA8" w:rsidRDefault="00B84CA8" w:rsidP="00B84CA8">
      <w:pPr>
        <w:rPr>
          <w:rFonts w:cs="Arial"/>
        </w:rPr>
      </w:pPr>
    </w:p>
    <w:p w14:paraId="4730D687" w14:textId="637C4A0F" w:rsidR="00B84CA8" w:rsidRPr="00B84CA8" w:rsidRDefault="00B84CA8" w:rsidP="00B84CA8">
      <w:pPr>
        <w:pStyle w:val="ListParagraph"/>
        <w:numPr>
          <w:ilvl w:val="0"/>
          <w:numId w:val="2"/>
        </w:numPr>
        <w:rPr>
          <w:rFonts w:cs="Arial"/>
          <w:b/>
          <w:bCs/>
        </w:rPr>
      </w:pPr>
      <w:r w:rsidRPr="00B84CA8">
        <w:rPr>
          <w:rFonts w:cs="Arial"/>
          <w:b/>
          <w:bCs/>
        </w:rPr>
        <w:t>S</w:t>
      </w:r>
      <w:r>
        <w:rPr>
          <w:rFonts w:cs="Arial"/>
          <w:b/>
          <w:bCs/>
        </w:rPr>
        <w:t>cope</w:t>
      </w:r>
    </w:p>
    <w:p w14:paraId="71551B4F" w14:textId="77777777" w:rsidR="00B84CA8" w:rsidRDefault="00B84CA8" w:rsidP="00B84CA8">
      <w:pPr>
        <w:rPr>
          <w:rFonts w:cs="Arial"/>
        </w:rPr>
      </w:pPr>
    </w:p>
    <w:p w14:paraId="7CA37838" w14:textId="28F936F0" w:rsidR="00B84CA8" w:rsidRPr="00B84CA8" w:rsidRDefault="007808CB" w:rsidP="00B84CA8">
      <w:pPr>
        <w:rPr>
          <w:rFonts w:cs="Arial"/>
        </w:rPr>
      </w:pPr>
      <w:r w:rsidRPr="00030F8D">
        <w:rPr>
          <w:rFonts w:cs="Arial"/>
        </w:rPr>
        <w:t>Taith</w:t>
      </w:r>
      <w:r w:rsidR="00B84CA8" w:rsidRPr="00030F8D">
        <w:rPr>
          <w:rFonts w:cs="Arial"/>
        </w:rPr>
        <w:t xml:space="preserve"> may </w:t>
      </w:r>
      <w:r w:rsidR="00B84CA8" w:rsidRPr="00B84CA8">
        <w:rPr>
          <w:rFonts w:cs="Arial"/>
        </w:rPr>
        <w:t>levy a charge in response to requests for information in accordance with the following legislation:</w:t>
      </w:r>
    </w:p>
    <w:p w14:paraId="2647F102" w14:textId="5DB818B2" w:rsidR="00B84CA8" w:rsidRPr="00B84CA8" w:rsidRDefault="00B84CA8" w:rsidP="00B84CA8">
      <w:pPr>
        <w:pStyle w:val="ListParagraph"/>
        <w:numPr>
          <w:ilvl w:val="0"/>
          <w:numId w:val="4"/>
        </w:numPr>
        <w:rPr>
          <w:rFonts w:cs="Arial"/>
        </w:rPr>
      </w:pPr>
      <w:r w:rsidRPr="00B84CA8">
        <w:rPr>
          <w:rFonts w:cs="Arial"/>
        </w:rPr>
        <w:t xml:space="preserve">UK General Data Protection Regulation </w:t>
      </w:r>
    </w:p>
    <w:p w14:paraId="30F5AC86" w14:textId="43E3838E" w:rsidR="00B84CA8" w:rsidRPr="00B84CA8" w:rsidRDefault="00B84CA8" w:rsidP="00B84CA8">
      <w:pPr>
        <w:pStyle w:val="ListParagraph"/>
        <w:numPr>
          <w:ilvl w:val="0"/>
          <w:numId w:val="4"/>
        </w:numPr>
        <w:rPr>
          <w:rFonts w:cs="Arial"/>
        </w:rPr>
      </w:pPr>
      <w:r w:rsidRPr="00B84CA8">
        <w:rPr>
          <w:rFonts w:cs="Arial"/>
        </w:rPr>
        <w:t>Freedom of Information Act 2000</w:t>
      </w:r>
    </w:p>
    <w:p w14:paraId="5BE85F81" w14:textId="6BB9FA6C" w:rsidR="00B84CA8" w:rsidRPr="00B84CA8" w:rsidRDefault="00B84CA8" w:rsidP="00B84CA8">
      <w:pPr>
        <w:pStyle w:val="ListParagraph"/>
        <w:numPr>
          <w:ilvl w:val="0"/>
          <w:numId w:val="4"/>
        </w:numPr>
        <w:rPr>
          <w:rFonts w:cs="Arial"/>
        </w:rPr>
      </w:pPr>
      <w:r w:rsidRPr="00B84CA8">
        <w:rPr>
          <w:rFonts w:cs="Arial"/>
        </w:rPr>
        <w:t>Environmental Information Regulations 2004</w:t>
      </w:r>
    </w:p>
    <w:p w14:paraId="7CA4B4FF" w14:textId="77777777" w:rsidR="00B84CA8" w:rsidRPr="00B84CA8" w:rsidRDefault="00B84CA8" w:rsidP="00B84CA8">
      <w:pPr>
        <w:rPr>
          <w:rFonts w:cs="Arial"/>
        </w:rPr>
      </w:pPr>
      <w:r w:rsidRPr="00B84CA8">
        <w:rPr>
          <w:rFonts w:cs="Arial"/>
        </w:rPr>
        <w:t xml:space="preserve">. </w:t>
      </w:r>
    </w:p>
    <w:p w14:paraId="55C0925F" w14:textId="2706D5F7" w:rsidR="00B84CA8" w:rsidRPr="00B84CA8" w:rsidRDefault="00B84CA8" w:rsidP="00B84CA8">
      <w:pPr>
        <w:pStyle w:val="ListParagraph"/>
        <w:numPr>
          <w:ilvl w:val="0"/>
          <w:numId w:val="2"/>
        </w:numPr>
        <w:rPr>
          <w:rFonts w:cs="Arial"/>
          <w:b/>
          <w:bCs/>
        </w:rPr>
      </w:pPr>
      <w:r>
        <w:rPr>
          <w:rFonts w:cs="Arial"/>
          <w:b/>
          <w:bCs/>
        </w:rPr>
        <w:t>Relationship with existing policies</w:t>
      </w:r>
    </w:p>
    <w:p w14:paraId="45A6F358" w14:textId="77777777" w:rsidR="00B84CA8" w:rsidRPr="00B84CA8" w:rsidRDefault="00B84CA8" w:rsidP="00B84CA8">
      <w:pPr>
        <w:rPr>
          <w:rFonts w:cs="Arial"/>
        </w:rPr>
      </w:pPr>
    </w:p>
    <w:p w14:paraId="16FAA6AC" w14:textId="77777777" w:rsidR="00B84CA8" w:rsidRPr="00B84CA8" w:rsidRDefault="00B84CA8" w:rsidP="00B84CA8">
      <w:pPr>
        <w:rPr>
          <w:rFonts w:cs="Arial"/>
        </w:rPr>
      </w:pPr>
      <w:r w:rsidRPr="00B84CA8">
        <w:rPr>
          <w:rFonts w:cs="Arial"/>
        </w:rPr>
        <w:t>This policy should be read in conjunction with the:</w:t>
      </w:r>
    </w:p>
    <w:p w14:paraId="28D8C8F0" w14:textId="24498B74" w:rsidR="00B84CA8" w:rsidRPr="00B84CA8" w:rsidRDefault="00B84CA8" w:rsidP="00B84CA8">
      <w:pPr>
        <w:pStyle w:val="ListParagraph"/>
        <w:numPr>
          <w:ilvl w:val="0"/>
          <w:numId w:val="4"/>
        </w:numPr>
        <w:rPr>
          <w:rFonts w:cs="Arial"/>
        </w:rPr>
      </w:pPr>
      <w:r w:rsidRPr="00B84CA8">
        <w:rPr>
          <w:rFonts w:cs="Arial"/>
        </w:rPr>
        <w:t>Data Protection Policy</w:t>
      </w:r>
    </w:p>
    <w:p w14:paraId="1FA1585C" w14:textId="0F679DA5" w:rsidR="00B84CA8" w:rsidRPr="00B84CA8" w:rsidRDefault="00B84CA8" w:rsidP="00B84CA8">
      <w:pPr>
        <w:pStyle w:val="ListParagraph"/>
        <w:numPr>
          <w:ilvl w:val="0"/>
          <w:numId w:val="4"/>
        </w:numPr>
        <w:rPr>
          <w:rFonts w:cs="Arial"/>
        </w:rPr>
      </w:pPr>
      <w:r w:rsidRPr="00B84CA8">
        <w:rPr>
          <w:rFonts w:cs="Arial"/>
        </w:rPr>
        <w:t>Records Management Policy</w:t>
      </w:r>
    </w:p>
    <w:p w14:paraId="19BB4487" w14:textId="77777777" w:rsidR="00B84CA8" w:rsidRDefault="00B84CA8" w:rsidP="00B84CA8">
      <w:pPr>
        <w:rPr>
          <w:rFonts w:cs="Arial"/>
        </w:rPr>
      </w:pPr>
    </w:p>
    <w:p w14:paraId="0BC78B9B" w14:textId="0113CDC1" w:rsidR="00B84CA8" w:rsidRPr="00B84CA8" w:rsidRDefault="00B84CA8" w:rsidP="00B84CA8">
      <w:pPr>
        <w:pStyle w:val="ListParagraph"/>
        <w:numPr>
          <w:ilvl w:val="0"/>
          <w:numId w:val="2"/>
        </w:numPr>
        <w:rPr>
          <w:rFonts w:cs="Arial"/>
          <w:b/>
          <w:bCs/>
        </w:rPr>
      </w:pPr>
      <w:r>
        <w:rPr>
          <w:rFonts w:cs="Arial"/>
          <w:b/>
          <w:bCs/>
        </w:rPr>
        <w:t>Policy statement</w:t>
      </w:r>
    </w:p>
    <w:p w14:paraId="0C1D492E" w14:textId="77777777" w:rsidR="00B84CA8" w:rsidRDefault="00B84CA8" w:rsidP="00B84CA8">
      <w:pPr>
        <w:rPr>
          <w:rFonts w:cs="Arial"/>
        </w:rPr>
      </w:pPr>
    </w:p>
    <w:p w14:paraId="0143660C" w14:textId="1F281791" w:rsidR="00B84CA8" w:rsidRPr="00B84CA8" w:rsidRDefault="00B84CA8" w:rsidP="00B84CA8">
      <w:pPr>
        <w:pStyle w:val="ListParagraph"/>
        <w:numPr>
          <w:ilvl w:val="1"/>
          <w:numId w:val="2"/>
        </w:numPr>
        <w:rPr>
          <w:rFonts w:cs="Arial"/>
          <w:b/>
          <w:bCs/>
        </w:rPr>
      </w:pPr>
      <w:r w:rsidRPr="00B84CA8">
        <w:rPr>
          <w:rFonts w:cs="Arial"/>
          <w:b/>
          <w:bCs/>
        </w:rPr>
        <w:t xml:space="preserve">UK GDPR </w:t>
      </w:r>
    </w:p>
    <w:p w14:paraId="2EF071B9" w14:textId="77777777" w:rsidR="00B84CA8" w:rsidRDefault="00B84CA8" w:rsidP="00B84CA8">
      <w:pPr>
        <w:rPr>
          <w:rFonts w:cs="Arial"/>
        </w:rPr>
      </w:pPr>
    </w:p>
    <w:p w14:paraId="2561D722" w14:textId="4078AE75" w:rsidR="00B84CA8" w:rsidRPr="00B84CA8" w:rsidRDefault="00B84CA8" w:rsidP="00B84CA8">
      <w:pPr>
        <w:rPr>
          <w:rFonts w:cs="Arial"/>
        </w:rPr>
      </w:pPr>
      <w:r w:rsidRPr="00B84CA8">
        <w:rPr>
          <w:rFonts w:cs="Arial"/>
        </w:rPr>
        <w:t>All requests from individuals for access to their personal data for their own purposes, should normally be channelled through the formal Subject Access Request procedure</w:t>
      </w:r>
      <w:r>
        <w:rPr>
          <w:rFonts w:cs="Arial"/>
        </w:rPr>
        <w:t xml:space="preserve"> </w:t>
      </w:r>
      <w:r w:rsidRPr="00B84CA8">
        <w:rPr>
          <w:rFonts w:cs="Arial"/>
        </w:rPr>
        <w:t xml:space="preserve">unless the volume and nature of the information means that this can be facilitated locally. If unsure advice should </w:t>
      </w:r>
      <w:r w:rsidRPr="00A85F02">
        <w:rPr>
          <w:rFonts w:cs="Arial"/>
        </w:rPr>
        <w:t xml:space="preserve">be sought from </w:t>
      </w:r>
      <w:r w:rsidR="007808CB" w:rsidRPr="00A85F02">
        <w:rPr>
          <w:rFonts w:cs="Arial"/>
        </w:rPr>
        <w:t>Taith</w:t>
      </w:r>
      <w:r w:rsidRPr="00A85F02">
        <w:rPr>
          <w:rFonts w:cs="Arial"/>
        </w:rPr>
        <w:t xml:space="preserve">. There is no fee under the UK GDPR for Subject Access Requests however a reasonable fee </w:t>
      </w:r>
      <w:r w:rsidRPr="00B84CA8">
        <w:rPr>
          <w:rFonts w:cs="Arial"/>
        </w:rPr>
        <w:t xml:space="preserve">may be charged where a request is manifestly unreasonable or repetitive or where further copies of already recently provided personal data is requested. This fee will take account administrative costs. </w:t>
      </w:r>
    </w:p>
    <w:p w14:paraId="7E5CF584" w14:textId="77777777" w:rsidR="00B84CA8" w:rsidRDefault="00B84CA8" w:rsidP="00B84CA8">
      <w:pPr>
        <w:rPr>
          <w:rFonts w:cs="Arial"/>
        </w:rPr>
      </w:pPr>
    </w:p>
    <w:p w14:paraId="3586F870" w14:textId="5C65F15E" w:rsidR="00B84CA8" w:rsidRPr="00B84CA8" w:rsidRDefault="00B84CA8" w:rsidP="00B84CA8">
      <w:pPr>
        <w:pStyle w:val="ListParagraph"/>
        <w:numPr>
          <w:ilvl w:val="1"/>
          <w:numId w:val="2"/>
        </w:numPr>
        <w:rPr>
          <w:rFonts w:cs="Arial"/>
          <w:b/>
          <w:bCs/>
        </w:rPr>
      </w:pPr>
      <w:r w:rsidRPr="00B84CA8">
        <w:rPr>
          <w:rFonts w:cs="Arial"/>
          <w:b/>
          <w:bCs/>
        </w:rPr>
        <w:t xml:space="preserve">Freedom of Information Act 2000 </w:t>
      </w:r>
    </w:p>
    <w:p w14:paraId="47A7FAE6" w14:textId="77777777" w:rsidR="00B84CA8" w:rsidRDefault="00B84CA8" w:rsidP="00B84CA8">
      <w:pPr>
        <w:rPr>
          <w:rFonts w:cs="Arial"/>
        </w:rPr>
      </w:pPr>
    </w:p>
    <w:p w14:paraId="202D4CA8" w14:textId="01203BC8" w:rsidR="00B84CA8" w:rsidRPr="00A85F02" w:rsidRDefault="00B84CA8" w:rsidP="00B84CA8">
      <w:pPr>
        <w:pStyle w:val="ListParagraph"/>
        <w:numPr>
          <w:ilvl w:val="0"/>
          <w:numId w:val="8"/>
        </w:numPr>
        <w:rPr>
          <w:rFonts w:cs="Arial"/>
        </w:rPr>
      </w:pPr>
      <w:r w:rsidRPr="007808CB">
        <w:rPr>
          <w:rFonts w:cs="Arial"/>
        </w:rPr>
        <w:t xml:space="preserve">Under the Freedom of </w:t>
      </w:r>
      <w:r w:rsidRPr="00A85F02">
        <w:rPr>
          <w:rFonts w:cs="Arial"/>
        </w:rPr>
        <w:t xml:space="preserve">Information Act </w:t>
      </w:r>
      <w:r w:rsidR="007808CB" w:rsidRPr="00A85F02">
        <w:rPr>
          <w:rFonts w:cs="Arial"/>
        </w:rPr>
        <w:t>Taith</w:t>
      </w:r>
      <w:r w:rsidRPr="00A85F02">
        <w:rPr>
          <w:rFonts w:cs="Arial"/>
        </w:rPr>
        <w:t xml:space="preserve"> may charge for the costs of searching for and extracting information not included in the Publication Scheme, where this is estimated to exceed the appropriate limit. The appropriate limit is defined in the supporting fees regulations and is currently a total of £450, or 18 hours based on a flat rate of £25 per hour per member of staff. Where it is estimated that it will take longer than 18 hours to locate and/or retrieve all the information requested, </w:t>
      </w:r>
      <w:r w:rsidR="007808CB" w:rsidRPr="00A85F02">
        <w:rPr>
          <w:rFonts w:cs="Arial"/>
        </w:rPr>
        <w:t xml:space="preserve">Taith </w:t>
      </w:r>
      <w:r w:rsidRPr="00A85F02">
        <w:rPr>
          <w:rFonts w:cs="Arial"/>
        </w:rPr>
        <w:t xml:space="preserve">may </w:t>
      </w:r>
      <w:r w:rsidRPr="007808CB">
        <w:rPr>
          <w:rFonts w:cs="Arial"/>
        </w:rPr>
        <w:t xml:space="preserve">be </w:t>
      </w:r>
      <w:r w:rsidR="007808CB" w:rsidRPr="00A85F02">
        <w:rPr>
          <w:rFonts w:cs="Arial"/>
        </w:rPr>
        <w:lastRenderedPageBreak/>
        <w:t>ask staff</w:t>
      </w:r>
      <w:r w:rsidRPr="00A85F02">
        <w:rPr>
          <w:rFonts w:cs="Arial"/>
        </w:rPr>
        <w:t xml:space="preserve"> to supply evidence or provide a detailed breakdown of search costs to the </w:t>
      </w:r>
      <w:r w:rsidR="007808CB" w:rsidRPr="00A85F02">
        <w:rPr>
          <w:rFonts w:cs="Arial"/>
        </w:rPr>
        <w:t>Executive Director</w:t>
      </w:r>
      <w:r w:rsidRPr="00A85F02">
        <w:rPr>
          <w:rFonts w:cs="Arial"/>
        </w:rPr>
        <w:t>.</w:t>
      </w:r>
    </w:p>
    <w:p w14:paraId="7A5C845E" w14:textId="77777777" w:rsidR="00B84CA8" w:rsidRPr="00A85F02" w:rsidRDefault="00B84CA8" w:rsidP="00B84CA8">
      <w:pPr>
        <w:rPr>
          <w:rFonts w:cs="Arial"/>
        </w:rPr>
      </w:pPr>
    </w:p>
    <w:p w14:paraId="7720A6FC" w14:textId="603648B6" w:rsidR="00B84CA8" w:rsidRPr="00A85F02" w:rsidRDefault="00B84CA8" w:rsidP="00B84CA8">
      <w:pPr>
        <w:pStyle w:val="ListParagraph"/>
        <w:numPr>
          <w:ilvl w:val="0"/>
          <w:numId w:val="8"/>
        </w:numPr>
        <w:rPr>
          <w:rFonts w:cs="Arial"/>
        </w:rPr>
      </w:pPr>
      <w:r w:rsidRPr="00A85F02">
        <w:rPr>
          <w:rFonts w:cs="Arial"/>
        </w:rPr>
        <w:t xml:space="preserve">Where a request under the Freedom of Information Act exceeds the appropriate </w:t>
      </w:r>
      <w:proofErr w:type="gramStart"/>
      <w:r w:rsidRPr="00A85F02">
        <w:rPr>
          <w:rFonts w:cs="Arial"/>
        </w:rPr>
        <w:t>limit</w:t>
      </w:r>
      <w:proofErr w:type="gramEnd"/>
      <w:r w:rsidRPr="00A85F02">
        <w:rPr>
          <w:rFonts w:cs="Arial"/>
        </w:rPr>
        <w:t xml:space="preserve"> the </w:t>
      </w:r>
      <w:r w:rsidR="007808CB" w:rsidRPr="00A85F02">
        <w:rPr>
          <w:rFonts w:cs="Arial"/>
        </w:rPr>
        <w:t>Executive Director</w:t>
      </w:r>
      <w:r w:rsidRPr="00A85F02">
        <w:rPr>
          <w:rFonts w:cs="Arial"/>
        </w:rPr>
        <w:t xml:space="preserve"> shall either issue a fees notice and/or, having consulted with the relevant </w:t>
      </w:r>
      <w:r w:rsidR="007808CB" w:rsidRPr="00A85F02">
        <w:rPr>
          <w:rFonts w:cs="Arial"/>
        </w:rPr>
        <w:t>staff</w:t>
      </w:r>
      <w:r w:rsidRPr="00A85F02">
        <w:rPr>
          <w:rFonts w:cs="Arial"/>
        </w:rPr>
        <w:t xml:space="preserve"> where necessary, refuse the request under Section 12 and advise the requester as to what is available under the threshold.</w:t>
      </w:r>
    </w:p>
    <w:p w14:paraId="4DC4CB7E" w14:textId="77777777" w:rsidR="00B84CA8" w:rsidRDefault="00B84CA8" w:rsidP="00B84CA8">
      <w:pPr>
        <w:rPr>
          <w:rFonts w:cs="Arial"/>
        </w:rPr>
      </w:pPr>
    </w:p>
    <w:p w14:paraId="0514DB13" w14:textId="68556C3A" w:rsidR="00B84CA8" w:rsidRPr="00A85F02" w:rsidRDefault="007808CB" w:rsidP="00B84CA8">
      <w:pPr>
        <w:pStyle w:val="ListParagraph"/>
        <w:numPr>
          <w:ilvl w:val="0"/>
          <w:numId w:val="8"/>
        </w:numPr>
        <w:rPr>
          <w:rFonts w:cs="Arial"/>
        </w:rPr>
      </w:pPr>
      <w:r w:rsidRPr="00A85F02">
        <w:rPr>
          <w:rFonts w:cs="Arial"/>
        </w:rPr>
        <w:t>Taith</w:t>
      </w:r>
      <w:r w:rsidR="00B84CA8" w:rsidRPr="00A85F02">
        <w:rPr>
          <w:rFonts w:cs="Arial"/>
        </w:rPr>
        <w:t xml:space="preserve"> may only charge for the release of information included under its Publication Scheme where the Publication Scheme records that the material is subject to a charge. Information which </w:t>
      </w:r>
      <w:r w:rsidRPr="00A85F02">
        <w:rPr>
          <w:rFonts w:cs="Arial"/>
        </w:rPr>
        <w:t>Taith</w:t>
      </w:r>
      <w:r w:rsidR="00B84CA8" w:rsidRPr="00A85F02">
        <w:rPr>
          <w:rFonts w:cs="Arial"/>
        </w:rPr>
        <w:t xml:space="preserve"> intends to make routinely available to the public upon payment must be included in the Publication Scheme. </w:t>
      </w:r>
    </w:p>
    <w:p w14:paraId="3E6D8361" w14:textId="77777777" w:rsidR="00EE7CC0" w:rsidRPr="00A85F02" w:rsidRDefault="00EE7CC0" w:rsidP="00EE7CC0">
      <w:pPr>
        <w:rPr>
          <w:rFonts w:cs="Arial"/>
        </w:rPr>
      </w:pPr>
    </w:p>
    <w:p w14:paraId="52409CCE" w14:textId="2C2324E3" w:rsidR="00B84CA8" w:rsidRPr="00A85F02" w:rsidRDefault="00B84CA8" w:rsidP="00B84CA8">
      <w:pPr>
        <w:pStyle w:val="ListParagraph"/>
        <w:numPr>
          <w:ilvl w:val="1"/>
          <w:numId w:val="2"/>
        </w:numPr>
        <w:rPr>
          <w:rFonts w:cs="Arial"/>
          <w:b/>
          <w:bCs/>
        </w:rPr>
      </w:pPr>
      <w:r w:rsidRPr="00A85F02">
        <w:rPr>
          <w:rFonts w:cs="Arial"/>
          <w:b/>
          <w:bCs/>
        </w:rPr>
        <w:t xml:space="preserve">Environmental Information Regulations 2004 </w:t>
      </w:r>
    </w:p>
    <w:p w14:paraId="28E699D0" w14:textId="77777777" w:rsidR="00B84CA8" w:rsidRPr="00A85F02" w:rsidRDefault="00B84CA8" w:rsidP="00B84CA8">
      <w:pPr>
        <w:rPr>
          <w:rFonts w:cs="Arial"/>
        </w:rPr>
      </w:pPr>
    </w:p>
    <w:p w14:paraId="51522F4B" w14:textId="456495AF" w:rsidR="00B84CA8" w:rsidRPr="00A85F02" w:rsidRDefault="00B84CA8" w:rsidP="00B84CA8">
      <w:pPr>
        <w:rPr>
          <w:rFonts w:cs="Arial"/>
        </w:rPr>
      </w:pPr>
      <w:r w:rsidRPr="00A85F02">
        <w:rPr>
          <w:rFonts w:cs="Arial"/>
        </w:rPr>
        <w:t xml:space="preserve">Under the Environmental Information Regulations </w:t>
      </w:r>
      <w:r w:rsidR="007808CB" w:rsidRPr="00A85F02">
        <w:rPr>
          <w:rFonts w:cs="Arial"/>
        </w:rPr>
        <w:t>Taith</w:t>
      </w:r>
      <w:r w:rsidRPr="00A85F02">
        <w:rPr>
          <w:rFonts w:cs="Arial"/>
        </w:rPr>
        <w:t xml:space="preserve"> may, in theory, make a reasonable charge for providing information upon request with no thresholds or ceilings. However, for transparency and simplicity the flat rate calculation applicable to Freedom of Information requests shall be applied.</w:t>
      </w:r>
    </w:p>
    <w:p w14:paraId="1E03C98E" w14:textId="77777777" w:rsidR="00B84CA8" w:rsidRPr="00A85F02" w:rsidRDefault="00B84CA8" w:rsidP="00B84CA8">
      <w:pPr>
        <w:rPr>
          <w:rFonts w:cs="Arial"/>
        </w:rPr>
      </w:pPr>
    </w:p>
    <w:p w14:paraId="58ED2823" w14:textId="75E15545" w:rsidR="00B84CA8" w:rsidRPr="00A85F02" w:rsidRDefault="00B84CA8" w:rsidP="00B84CA8">
      <w:pPr>
        <w:pStyle w:val="ListParagraph"/>
        <w:numPr>
          <w:ilvl w:val="1"/>
          <w:numId w:val="2"/>
        </w:numPr>
        <w:rPr>
          <w:rFonts w:cs="Arial"/>
          <w:b/>
          <w:bCs/>
        </w:rPr>
      </w:pPr>
      <w:r w:rsidRPr="00A85F02">
        <w:rPr>
          <w:rFonts w:cs="Arial"/>
          <w:b/>
          <w:bCs/>
        </w:rPr>
        <w:t>Disbursements</w:t>
      </w:r>
    </w:p>
    <w:p w14:paraId="6C6F3583" w14:textId="77777777" w:rsidR="00B84CA8" w:rsidRPr="00A85F02" w:rsidRDefault="00B84CA8" w:rsidP="00B84CA8">
      <w:pPr>
        <w:rPr>
          <w:rFonts w:cs="Arial"/>
        </w:rPr>
      </w:pPr>
    </w:p>
    <w:p w14:paraId="574CA510" w14:textId="1AEBF31F" w:rsidR="00B84CA8" w:rsidRPr="00A85F02" w:rsidRDefault="00B84CA8" w:rsidP="00B84CA8">
      <w:pPr>
        <w:rPr>
          <w:rFonts w:cs="Arial"/>
        </w:rPr>
      </w:pPr>
      <w:r w:rsidRPr="00A85F02">
        <w:rPr>
          <w:rFonts w:cs="Arial"/>
        </w:rPr>
        <w:t xml:space="preserve">In relation to requests made under the Freedom of Information Act or Environmental Information Regulations </w:t>
      </w:r>
      <w:r w:rsidR="007808CB" w:rsidRPr="00A85F02">
        <w:rPr>
          <w:rFonts w:cs="Arial"/>
        </w:rPr>
        <w:t>Taith</w:t>
      </w:r>
      <w:r w:rsidRPr="00A85F02">
        <w:rPr>
          <w:rFonts w:cs="Arial"/>
        </w:rPr>
        <w:t xml:space="preserve"> may charge a reasonable sum for disbursements. For administrative simplicity and cost effectiveness </w:t>
      </w:r>
      <w:r w:rsidR="007808CB" w:rsidRPr="00A85F02">
        <w:rPr>
          <w:rFonts w:cs="Arial"/>
        </w:rPr>
        <w:t>Taith</w:t>
      </w:r>
      <w:r w:rsidRPr="00A85F02">
        <w:rPr>
          <w:rFonts w:cs="Arial"/>
        </w:rPr>
        <w:t xml:space="preserve"> will not charge for </w:t>
      </w:r>
      <w:r w:rsidR="00EF35E3" w:rsidRPr="00A85F02">
        <w:rPr>
          <w:rFonts w:cs="Arial"/>
        </w:rPr>
        <w:t>disbursements</w:t>
      </w:r>
      <w:r w:rsidRPr="00A85F02">
        <w:rPr>
          <w:rFonts w:cs="Arial"/>
        </w:rPr>
        <w:t xml:space="preserve"> where these are estimated as being under £10.</w:t>
      </w:r>
    </w:p>
    <w:p w14:paraId="15F8BBF2" w14:textId="77777777" w:rsidR="00B84CA8" w:rsidRPr="00A85F02" w:rsidRDefault="00B84CA8" w:rsidP="00B84CA8">
      <w:pPr>
        <w:rPr>
          <w:rFonts w:cs="Arial"/>
        </w:rPr>
      </w:pPr>
    </w:p>
    <w:p w14:paraId="326547CE" w14:textId="3ABA6A36" w:rsidR="00B84CA8" w:rsidRPr="00A85F02" w:rsidRDefault="00B84CA8" w:rsidP="00B84CA8">
      <w:pPr>
        <w:pStyle w:val="ListParagraph"/>
        <w:numPr>
          <w:ilvl w:val="1"/>
          <w:numId w:val="2"/>
        </w:numPr>
        <w:rPr>
          <w:rFonts w:cs="Arial"/>
          <w:b/>
          <w:bCs/>
        </w:rPr>
      </w:pPr>
      <w:r w:rsidRPr="00A85F02">
        <w:rPr>
          <w:rFonts w:cs="Arial"/>
          <w:b/>
          <w:bCs/>
        </w:rPr>
        <w:t>Summary of Charging Regimes</w:t>
      </w:r>
    </w:p>
    <w:p w14:paraId="72808060" w14:textId="3B3B0FF2" w:rsidR="00B84CA8" w:rsidRPr="00A85F02" w:rsidRDefault="00B84CA8" w:rsidP="479B4B9A">
      <w:pPr>
        <w:rPr>
          <w:rFonts w:cs="Arial"/>
          <w:i/>
          <w:iCs/>
        </w:rPr>
      </w:pPr>
      <w:r w:rsidRPr="00A85F02">
        <w:rPr>
          <w:rFonts w:cs="Arial"/>
          <w:i/>
          <w:iCs/>
        </w:rPr>
        <w:t xml:space="preserve">Italics indicate </w:t>
      </w:r>
      <w:proofErr w:type="gramStart"/>
      <w:r w:rsidRPr="00A85F02">
        <w:rPr>
          <w:rFonts w:cs="Arial"/>
          <w:i/>
          <w:iCs/>
        </w:rPr>
        <w:t>statutory</w:t>
      </w:r>
      <w:proofErr w:type="gramEnd"/>
    </w:p>
    <w:p w14:paraId="46C9DB36" w14:textId="706BCCA7" w:rsidR="00B84CA8" w:rsidRPr="00A85F02" w:rsidRDefault="00B84CA8" w:rsidP="00B84CA8">
      <w:pPr>
        <w:rPr>
          <w:rFonts w:cs="Arial"/>
          <w:b/>
          <w:bCs/>
        </w:rPr>
      </w:pPr>
      <w:r w:rsidRPr="00A85F02">
        <w:rPr>
          <w:rFonts w:cs="Arial"/>
          <w:b/>
          <w:bCs/>
        </w:rPr>
        <w:t xml:space="preserve">Bold indicates </w:t>
      </w:r>
      <w:r w:rsidR="00D817A6" w:rsidRPr="00A85F02">
        <w:rPr>
          <w:rFonts w:cs="Arial"/>
          <w:b/>
          <w:bCs/>
        </w:rPr>
        <w:t>Taith</w:t>
      </w:r>
      <w:r w:rsidRPr="00A85F02">
        <w:rPr>
          <w:rFonts w:cs="Arial"/>
          <w:b/>
          <w:bCs/>
        </w:rPr>
        <w:t xml:space="preserve"> Policy</w:t>
      </w:r>
    </w:p>
    <w:p w14:paraId="3AAEE97F" w14:textId="77777777" w:rsidR="00B84CA8" w:rsidRDefault="00B84CA8" w:rsidP="00B84CA8">
      <w:pPr>
        <w:rPr>
          <w:rFonts w:cs="Arial"/>
        </w:rPr>
      </w:pPr>
    </w:p>
    <w:tbl>
      <w:tblPr>
        <w:tblStyle w:val="TableGrid"/>
        <w:tblW w:w="0" w:type="auto"/>
        <w:tblLook w:val="04A0" w:firstRow="1" w:lastRow="0" w:firstColumn="1" w:lastColumn="0" w:noHBand="0" w:noVBand="1"/>
      </w:tblPr>
      <w:tblGrid>
        <w:gridCol w:w="2254"/>
        <w:gridCol w:w="2254"/>
        <w:gridCol w:w="2254"/>
        <w:gridCol w:w="2254"/>
      </w:tblGrid>
      <w:tr w:rsidR="00B84CA8" w14:paraId="52A2FE94" w14:textId="77777777" w:rsidTr="00B84CA8">
        <w:tc>
          <w:tcPr>
            <w:tcW w:w="2254" w:type="dxa"/>
          </w:tcPr>
          <w:p w14:paraId="2D4BD390" w14:textId="77777777" w:rsidR="00B84CA8" w:rsidRDefault="00B84CA8" w:rsidP="00B84CA8">
            <w:pPr>
              <w:rPr>
                <w:rFonts w:cs="Arial"/>
              </w:rPr>
            </w:pPr>
          </w:p>
        </w:tc>
        <w:tc>
          <w:tcPr>
            <w:tcW w:w="2254" w:type="dxa"/>
          </w:tcPr>
          <w:p w14:paraId="39FF9E01" w14:textId="77777777" w:rsidR="00B84CA8" w:rsidRPr="007808CB" w:rsidRDefault="00B84CA8" w:rsidP="00B84CA8">
            <w:pPr>
              <w:rPr>
                <w:rFonts w:cs="Arial"/>
                <w:b/>
                <w:bCs/>
              </w:rPr>
            </w:pPr>
            <w:r w:rsidRPr="007808CB">
              <w:rPr>
                <w:rFonts w:cs="Arial"/>
                <w:b/>
                <w:bCs/>
              </w:rPr>
              <w:t xml:space="preserve">Freedom of </w:t>
            </w:r>
          </w:p>
          <w:p w14:paraId="5100159A" w14:textId="7E8E7CEC" w:rsidR="00B84CA8" w:rsidRPr="007808CB" w:rsidRDefault="00B84CA8" w:rsidP="00B84CA8">
            <w:pPr>
              <w:rPr>
                <w:rFonts w:cs="Arial"/>
                <w:b/>
                <w:bCs/>
              </w:rPr>
            </w:pPr>
            <w:r w:rsidRPr="007808CB">
              <w:rPr>
                <w:rFonts w:cs="Arial"/>
                <w:b/>
                <w:bCs/>
              </w:rPr>
              <w:t>Information</w:t>
            </w:r>
          </w:p>
        </w:tc>
        <w:tc>
          <w:tcPr>
            <w:tcW w:w="2254" w:type="dxa"/>
          </w:tcPr>
          <w:p w14:paraId="01C71053" w14:textId="77777777" w:rsidR="00B84CA8" w:rsidRPr="007808CB" w:rsidRDefault="00B84CA8" w:rsidP="00B84CA8">
            <w:pPr>
              <w:rPr>
                <w:rFonts w:cs="Arial"/>
                <w:b/>
                <w:bCs/>
              </w:rPr>
            </w:pPr>
            <w:r w:rsidRPr="007808CB">
              <w:rPr>
                <w:rFonts w:cs="Arial"/>
                <w:b/>
                <w:bCs/>
              </w:rPr>
              <w:t xml:space="preserve">Environmental </w:t>
            </w:r>
          </w:p>
          <w:p w14:paraId="4CC9FD98" w14:textId="77777777" w:rsidR="00B84CA8" w:rsidRPr="007808CB" w:rsidRDefault="00B84CA8" w:rsidP="00B84CA8">
            <w:pPr>
              <w:rPr>
                <w:rFonts w:cs="Arial"/>
                <w:b/>
                <w:bCs/>
              </w:rPr>
            </w:pPr>
            <w:r w:rsidRPr="007808CB">
              <w:rPr>
                <w:rFonts w:cs="Arial"/>
                <w:b/>
                <w:bCs/>
              </w:rPr>
              <w:t xml:space="preserve">Information </w:t>
            </w:r>
          </w:p>
          <w:p w14:paraId="0B498A11" w14:textId="1EDDBC99" w:rsidR="00B84CA8" w:rsidRPr="007808CB" w:rsidRDefault="00B84CA8" w:rsidP="00B84CA8">
            <w:pPr>
              <w:rPr>
                <w:rFonts w:cs="Arial"/>
                <w:b/>
                <w:bCs/>
              </w:rPr>
            </w:pPr>
            <w:r w:rsidRPr="007808CB">
              <w:rPr>
                <w:rFonts w:cs="Arial"/>
                <w:b/>
                <w:bCs/>
              </w:rPr>
              <w:t>Regulations</w:t>
            </w:r>
          </w:p>
        </w:tc>
        <w:tc>
          <w:tcPr>
            <w:tcW w:w="2254" w:type="dxa"/>
          </w:tcPr>
          <w:p w14:paraId="303FE916" w14:textId="77777777" w:rsidR="00B84CA8" w:rsidRPr="007808CB" w:rsidRDefault="00B84CA8" w:rsidP="00B84CA8">
            <w:pPr>
              <w:rPr>
                <w:rFonts w:cs="Arial"/>
                <w:b/>
                <w:bCs/>
              </w:rPr>
            </w:pPr>
            <w:r w:rsidRPr="007808CB">
              <w:rPr>
                <w:rFonts w:cs="Arial"/>
                <w:b/>
                <w:bCs/>
              </w:rPr>
              <w:t>Data Protection</w:t>
            </w:r>
          </w:p>
          <w:p w14:paraId="1F426ED7" w14:textId="77777777" w:rsidR="00B84CA8" w:rsidRPr="007808CB" w:rsidRDefault="00B84CA8" w:rsidP="00B84CA8">
            <w:pPr>
              <w:rPr>
                <w:rFonts w:cs="Arial"/>
                <w:b/>
                <w:bCs/>
              </w:rPr>
            </w:pPr>
          </w:p>
        </w:tc>
      </w:tr>
      <w:tr w:rsidR="00B84CA8" w14:paraId="16AD5CBE" w14:textId="77777777" w:rsidTr="00B84CA8">
        <w:tc>
          <w:tcPr>
            <w:tcW w:w="2254" w:type="dxa"/>
          </w:tcPr>
          <w:p w14:paraId="520D50C0" w14:textId="6DE4133B" w:rsidR="00B84CA8" w:rsidRPr="007808CB" w:rsidRDefault="00B84CA8" w:rsidP="00B84CA8">
            <w:pPr>
              <w:rPr>
                <w:rFonts w:cs="Arial"/>
                <w:b/>
                <w:bCs/>
              </w:rPr>
            </w:pPr>
            <w:r w:rsidRPr="007808CB">
              <w:rPr>
                <w:rFonts w:cs="Arial"/>
                <w:b/>
                <w:bCs/>
              </w:rPr>
              <w:t>Standard charge</w:t>
            </w:r>
          </w:p>
        </w:tc>
        <w:tc>
          <w:tcPr>
            <w:tcW w:w="2254" w:type="dxa"/>
          </w:tcPr>
          <w:p w14:paraId="63DFBF8C" w14:textId="041AFD5B" w:rsidR="00B84CA8" w:rsidRPr="007808CB" w:rsidRDefault="00B84CA8" w:rsidP="00B84CA8">
            <w:pPr>
              <w:rPr>
                <w:rFonts w:cs="Arial"/>
                <w:i/>
                <w:iCs/>
              </w:rPr>
            </w:pPr>
            <w:r w:rsidRPr="007808CB">
              <w:rPr>
                <w:rFonts w:cs="Arial"/>
                <w:i/>
                <w:iCs/>
              </w:rPr>
              <w:t>n/a</w:t>
            </w:r>
          </w:p>
        </w:tc>
        <w:tc>
          <w:tcPr>
            <w:tcW w:w="2254" w:type="dxa"/>
          </w:tcPr>
          <w:p w14:paraId="19C449FC" w14:textId="2F0B7189" w:rsidR="00B84CA8" w:rsidRPr="007808CB" w:rsidRDefault="00B84CA8" w:rsidP="00B84CA8">
            <w:pPr>
              <w:rPr>
                <w:rFonts w:cs="Arial"/>
                <w:i/>
                <w:iCs/>
              </w:rPr>
            </w:pPr>
            <w:r w:rsidRPr="007808CB">
              <w:rPr>
                <w:rFonts w:cs="Arial"/>
                <w:i/>
                <w:iCs/>
              </w:rPr>
              <w:t>n/a</w:t>
            </w:r>
          </w:p>
        </w:tc>
        <w:tc>
          <w:tcPr>
            <w:tcW w:w="2254" w:type="dxa"/>
          </w:tcPr>
          <w:p w14:paraId="1A570025" w14:textId="579CC5C5" w:rsidR="00B84CA8" w:rsidRPr="007808CB" w:rsidRDefault="00B84CA8" w:rsidP="00B84CA8">
            <w:pPr>
              <w:rPr>
                <w:rFonts w:cs="Arial"/>
                <w:i/>
                <w:iCs/>
              </w:rPr>
            </w:pPr>
            <w:r w:rsidRPr="007808CB">
              <w:rPr>
                <w:rFonts w:cs="Arial"/>
                <w:i/>
                <w:iCs/>
              </w:rPr>
              <w:t>n/a</w:t>
            </w:r>
          </w:p>
        </w:tc>
      </w:tr>
      <w:tr w:rsidR="00B84CA8" w14:paraId="13A9CD54" w14:textId="77777777" w:rsidTr="00B84CA8">
        <w:tc>
          <w:tcPr>
            <w:tcW w:w="2254" w:type="dxa"/>
          </w:tcPr>
          <w:p w14:paraId="7DE0D0B3" w14:textId="77777777" w:rsidR="00B84CA8" w:rsidRPr="007808CB" w:rsidRDefault="00B84CA8" w:rsidP="00B84CA8">
            <w:pPr>
              <w:rPr>
                <w:rFonts w:cs="Arial"/>
                <w:b/>
                <w:bCs/>
              </w:rPr>
            </w:pPr>
            <w:r w:rsidRPr="007808CB">
              <w:rPr>
                <w:rFonts w:cs="Arial"/>
                <w:b/>
                <w:bCs/>
              </w:rPr>
              <w:t xml:space="preserve">Threshold charge </w:t>
            </w:r>
          </w:p>
          <w:p w14:paraId="34B363D5" w14:textId="77777777" w:rsidR="00B84CA8" w:rsidRPr="007808CB" w:rsidRDefault="00B84CA8" w:rsidP="00B84CA8">
            <w:pPr>
              <w:rPr>
                <w:rFonts w:cs="Arial"/>
                <w:b/>
                <w:bCs/>
              </w:rPr>
            </w:pPr>
            <w:r w:rsidRPr="007808CB">
              <w:rPr>
                <w:rFonts w:cs="Arial"/>
                <w:b/>
                <w:bCs/>
              </w:rPr>
              <w:t xml:space="preserve">for searching/ </w:t>
            </w:r>
          </w:p>
          <w:p w14:paraId="61099F25" w14:textId="77777777" w:rsidR="00B84CA8" w:rsidRPr="007808CB" w:rsidRDefault="00B84CA8" w:rsidP="00B84CA8">
            <w:pPr>
              <w:rPr>
                <w:rFonts w:cs="Arial"/>
                <w:b/>
                <w:bCs/>
              </w:rPr>
            </w:pPr>
            <w:r w:rsidRPr="007808CB">
              <w:rPr>
                <w:rFonts w:cs="Arial"/>
                <w:b/>
                <w:bCs/>
              </w:rPr>
              <w:t xml:space="preserve">retrieving </w:t>
            </w:r>
          </w:p>
          <w:p w14:paraId="13CB9B93" w14:textId="197E2F45" w:rsidR="00B84CA8" w:rsidRPr="007808CB" w:rsidRDefault="00B84CA8" w:rsidP="00B84CA8">
            <w:pPr>
              <w:rPr>
                <w:rFonts w:cs="Arial"/>
                <w:b/>
                <w:bCs/>
              </w:rPr>
            </w:pPr>
            <w:r w:rsidRPr="007808CB">
              <w:rPr>
                <w:rFonts w:cs="Arial"/>
                <w:b/>
                <w:bCs/>
              </w:rPr>
              <w:t>information:</w:t>
            </w:r>
          </w:p>
        </w:tc>
        <w:tc>
          <w:tcPr>
            <w:tcW w:w="2254" w:type="dxa"/>
          </w:tcPr>
          <w:p w14:paraId="051C12E0" w14:textId="1B3B1540" w:rsidR="00B84CA8" w:rsidRPr="007808CB" w:rsidRDefault="00B84CA8" w:rsidP="00B84CA8">
            <w:pPr>
              <w:rPr>
                <w:rFonts w:cs="Arial"/>
                <w:i/>
                <w:iCs/>
              </w:rPr>
            </w:pPr>
            <w:r w:rsidRPr="007808CB">
              <w:rPr>
                <w:rFonts w:cs="Arial"/>
                <w:i/>
                <w:iCs/>
              </w:rPr>
              <w:t>&gt;£450</w:t>
            </w:r>
          </w:p>
        </w:tc>
        <w:tc>
          <w:tcPr>
            <w:tcW w:w="2254" w:type="dxa"/>
          </w:tcPr>
          <w:p w14:paraId="210FCFD6" w14:textId="76A51A15" w:rsidR="00B84CA8" w:rsidRPr="007808CB" w:rsidRDefault="00B84CA8" w:rsidP="00B84CA8">
            <w:pPr>
              <w:rPr>
                <w:rFonts w:cs="Arial"/>
                <w:i/>
                <w:iCs/>
              </w:rPr>
            </w:pPr>
            <w:r w:rsidRPr="007808CB">
              <w:rPr>
                <w:rFonts w:cs="Arial"/>
                <w:i/>
                <w:iCs/>
              </w:rPr>
              <w:t>None</w:t>
            </w:r>
          </w:p>
          <w:p w14:paraId="506A92FC" w14:textId="77777777" w:rsidR="00B84CA8" w:rsidRDefault="00B84CA8" w:rsidP="00B84CA8">
            <w:pPr>
              <w:rPr>
                <w:rFonts w:cs="Arial"/>
              </w:rPr>
            </w:pPr>
          </w:p>
          <w:p w14:paraId="2395A2F8" w14:textId="77777777" w:rsidR="00B84CA8" w:rsidRPr="007808CB" w:rsidRDefault="00B84CA8" w:rsidP="00B84CA8">
            <w:pPr>
              <w:rPr>
                <w:rFonts w:cs="Arial"/>
                <w:b/>
                <w:bCs/>
              </w:rPr>
            </w:pPr>
            <w:r w:rsidRPr="007808CB">
              <w:rPr>
                <w:rFonts w:cs="Arial"/>
                <w:b/>
                <w:bCs/>
              </w:rPr>
              <w:t xml:space="preserve">&gt;£450 </w:t>
            </w:r>
          </w:p>
          <w:p w14:paraId="210CBEE5" w14:textId="77777777" w:rsidR="00B84CA8" w:rsidRDefault="00B84CA8" w:rsidP="00B84CA8">
            <w:pPr>
              <w:rPr>
                <w:rFonts w:cs="Arial"/>
              </w:rPr>
            </w:pPr>
          </w:p>
        </w:tc>
        <w:tc>
          <w:tcPr>
            <w:tcW w:w="2254" w:type="dxa"/>
          </w:tcPr>
          <w:p w14:paraId="01040E6B" w14:textId="42A928C0" w:rsidR="00B84CA8" w:rsidRPr="007808CB" w:rsidRDefault="00B84CA8" w:rsidP="00B84CA8">
            <w:pPr>
              <w:rPr>
                <w:rFonts w:cs="Arial"/>
                <w:i/>
                <w:iCs/>
              </w:rPr>
            </w:pPr>
            <w:r w:rsidRPr="007808CB">
              <w:rPr>
                <w:rFonts w:cs="Arial"/>
                <w:i/>
                <w:iCs/>
              </w:rPr>
              <w:t>None</w:t>
            </w:r>
          </w:p>
        </w:tc>
      </w:tr>
      <w:tr w:rsidR="00B84CA8" w14:paraId="582FB69B" w14:textId="77777777" w:rsidTr="00B84CA8">
        <w:tc>
          <w:tcPr>
            <w:tcW w:w="2254" w:type="dxa"/>
          </w:tcPr>
          <w:p w14:paraId="2873087D" w14:textId="77777777" w:rsidR="00B84CA8" w:rsidRPr="007808CB" w:rsidRDefault="00B84CA8" w:rsidP="00B84CA8">
            <w:pPr>
              <w:rPr>
                <w:rFonts w:cs="Arial"/>
                <w:b/>
                <w:bCs/>
              </w:rPr>
            </w:pPr>
            <w:r w:rsidRPr="007808CB">
              <w:rPr>
                <w:rFonts w:cs="Arial"/>
                <w:b/>
                <w:bCs/>
              </w:rPr>
              <w:t xml:space="preserve">Hourly rate for </w:t>
            </w:r>
          </w:p>
          <w:p w14:paraId="60195EAD" w14:textId="77777777" w:rsidR="00B84CA8" w:rsidRPr="007808CB" w:rsidRDefault="00B84CA8" w:rsidP="00B84CA8">
            <w:pPr>
              <w:rPr>
                <w:rFonts w:cs="Arial"/>
                <w:b/>
                <w:bCs/>
              </w:rPr>
            </w:pPr>
            <w:r w:rsidRPr="007808CB">
              <w:rPr>
                <w:rFonts w:cs="Arial"/>
                <w:b/>
                <w:bCs/>
              </w:rPr>
              <w:t xml:space="preserve">estimating costs </w:t>
            </w:r>
          </w:p>
          <w:p w14:paraId="485206B0" w14:textId="77777777" w:rsidR="00B84CA8" w:rsidRPr="007808CB" w:rsidRDefault="00B84CA8" w:rsidP="00B84CA8">
            <w:pPr>
              <w:rPr>
                <w:rFonts w:cs="Arial"/>
                <w:b/>
                <w:bCs/>
              </w:rPr>
            </w:pPr>
            <w:r w:rsidRPr="007808CB">
              <w:rPr>
                <w:rFonts w:cs="Arial"/>
                <w:b/>
                <w:bCs/>
              </w:rPr>
              <w:t xml:space="preserve">of searching/ </w:t>
            </w:r>
          </w:p>
          <w:p w14:paraId="0DD760BD" w14:textId="77777777" w:rsidR="00B84CA8" w:rsidRPr="007808CB" w:rsidRDefault="00B84CA8" w:rsidP="00B84CA8">
            <w:pPr>
              <w:rPr>
                <w:rFonts w:cs="Arial"/>
                <w:b/>
                <w:bCs/>
              </w:rPr>
            </w:pPr>
            <w:r w:rsidRPr="007808CB">
              <w:rPr>
                <w:rFonts w:cs="Arial"/>
                <w:b/>
                <w:bCs/>
              </w:rPr>
              <w:lastRenderedPageBreak/>
              <w:t xml:space="preserve">retrieving </w:t>
            </w:r>
          </w:p>
          <w:p w14:paraId="1AA6DB20" w14:textId="77777777" w:rsidR="00B84CA8" w:rsidRPr="007808CB" w:rsidRDefault="00B84CA8" w:rsidP="00B84CA8">
            <w:pPr>
              <w:rPr>
                <w:rFonts w:cs="Arial"/>
                <w:b/>
                <w:bCs/>
              </w:rPr>
            </w:pPr>
            <w:r w:rsidRPr="007808CB">
              <w:rPr>
                <w:rFonts w:cs="Arial"/>
                <w:b/>
                <w:bCs/>
              </w:rPr>
              <w:t>information</w:t>
            </w:r>
          </w:p>
          <w:p w14:paraId="7436DAAB" w14:textId="77777777" w:rsidR="00B84CA8" w:rsidRPr="007808CB" w:rsidRDefault="00B84CA8" w:rsidP="00B84CA8">
            <w:pPr>
              <w:rPr>
                <w:rFonts w:cs="Arial"/>
                <w:b/>
                <w:bCs/>
              </w:rPr>
            </w:pPr>
          </w:p>
        </w:tc>
        <w:tc>
          <w:tcPr>
            <w:tcW w:w="2254" w:type="dxa"/>
          </w:tcPr>
          <w:p w14:paraId="776FBE94" w14:textId="2D42047B" w:rsidR="00B84CA8" w:rsidRPr="007808CB" w:rsidRDefault="00B84CA8" w:rsidP="00B84CA8">
            <w:pPr>
              <w:rPr>
                <w:rFonts w:cs="Arial"/>
                <w:i/>
                <w:iCs/>
              </w:rPr>
            </w:pPr>
            <w:r w:rsidRPr="007808CB">
              <w:rPr>
                <w:rFonts w:cs="Arial"/>
                <w:i/>
                <w:iCs/>
              </w:rPr>
              <w:lastRenderedPageBreak/>
              <w:t>£25</w:t>
            </w:r>
          </w:p>
        </w:tc>
        <w:tc>
          <w:tcPr>
            <w:tcW w:w="2254" w:type="dxa"/>
          </w:tcPr>
          <w:p w14:paraId="6FC2672E" w14:textId="77777777" w:rsidR="00B84CA8" w:rsidRPr="007808CB" w:rsidRDefault="00B84CA8" w:rsidP="00B84CA8">
            <w:pPr>
              <w:rPr>
                <w:rFonts w:cs="Arial"/>
                <w:i/>
                <w:iCs/>
              </w:rPr>
            </w:pPr>
            <w:r w:rsidRPr="007808CB">
              <w:rPr>
                <w:rFonts w:cs="Arial"/>
                <w:i/>
                <w:iCs/>
              </w:rPr>
              <w:t>Reasonable</w:t>
            </w:r>
          </w:p>
          <w:p w14:paraId="02ADA43E" w14:textId="77777777" w:rsidR="00B84CA8" w:rsidRDefault="00B84CA8" w:rsidP="00B84CA8">
            <w:pPr>
              <w:rPr>
                <w:rFonts w:cs="Arial"/>
              </w:rPr>
            </w:pPr>
          </w:p>
          <w:p w14:paraId="14EF1DF1" w14:textId="1877E09E" w:rsidR="00B84CA8" w:rsidRPr="007808CB" w:rsidRDefault="00B84CA8" w:rsidP="00B84CA8">
            <w:pPr>
              <w:rPr>
                <w:rFonts w:cs="Arial"/>
                <w:b/>
                <w:bCs/>
              </w:rPr>
            </w:pPr>
            <w:r w:rsidRPr="007808CB">
              <w:rPr>
                <w:rFonts w:cs="Arial"/>
                <w:b/>
                <w:bCs/>
              </w:rPr>
              <w:t>£25</w:t>
            </w:r>
          </w:p>
        </w:tc>
        <w:tc>
          <w:tcPr>
            <w:tcW w:w="2254" w:type="dxa"/>
          </w:tcPr>
          <w:p w14:paraId="345C68DD" w14:textId="5D1E389E" w:rsidR="00B84CA8" w:rsidRPr="007808CB" w:rsidRDefault="00B84CA8" w:rsidP="00B84CA8">
            <w:pPr>
              <w:rPr>
                <w:rFonts w:cs="Arial"/>
                <w:i/>
                <w:iCs/>
              </w:rPr>
            </w:pPr>
            <w:r w:rsidRPr="007808CB">
              <w:rPr>
                <w:rFonts w:cs="Arial"/>
                <w:i/>
                <w:iCs/>
              </w:rPr>
              <w:t>n/a</w:t>
            </w:r>
          </w:p>
        </w:tc>
      </w:tr>
      <w:tr w:rsidR="00B84CA8" w14:paraId="5DAD2183" w14:textId="77777777" w:rsidTr="00B84CA8">
        <w:tc>
          <w:tcPr>
            <w:tcW w:w="2254" w:type="dxa"/>
          </w:tcPr>
          <w:p w14:paraId="2E9B7B2C" w14:textId="77777777" w:rsidR="00B84CA8" w:rsidRPr="007808CB" w:rsidRDefault="00B84CA8" w:rsidP="00B84CA8">
            <w:pPr>
              <w:rPr>
                <w:rFonts w:cs="Arial"/>
                <w:b/>
                <w:bCs/>
              </w:rPr>
            </w:pPr>
            <w:r w:rsidRPr="007808CB">
              <w:rPr>
                <w:rFonts w:cs="Arial"/>
                <w:b/>
                <w:bCs/>
              </w:rPr>
              <w:t xml:space="preserve">Disbursements </w:t>
            </w:r>
          </w:p>
          <w:p w14:paraId="397D4DB9" w14:textId="7664642E" w:rsidR="00B84CA8" w:rsidRPr="007808CB" w:rsidRDefault="00B84CA8" w:rsidP="00B84CA8">
            <w:pPr>
              <w:rPr>
                <w:rFonts w:cs="Arial"/>
                <w:b/>
                <w:bCs/>
              </w:rPr>
            </w:pPr>
            <w:r w:rsidRPr="007808CB">
              <w:rPr>
                <w:rFonts w:cs="Arial"/>
                <w:b/>
                <w:bCs/>
              </w:rPr>
              <w:t>threshold charge</w:t>
            </w:r>
          </w:p>
        </w:tc>
        <w:tc>
          <w:tcPr>
            <w:tcW w:w="2254" w:type="dxa"/>
          </w:tcPr>
          <w:p w14:paraId="6F197C31" w14:textId="63EAC902" w:rsidR="00B84CA8" w:rsidRPr="007808CB" w:rsidRDefault="00B84CA8" w:rsidP="00B84CA8">
            <w:pPr>
              <w:rPr>
                <w:rFonts w:cs="Arial"/>
                <w:i/>
                <w:iCs/>
              </w:rPr>
            </w:pPr>
            <w:r w:rsidRPr="007808CB">
              <w:rPr>
                <w:rFonts w:cs="Arial"/>
                <w:i/>
                <w:iCs/>
              </w:rPr>
              <w:t>£0.01</w:t>
            </w:r>
          </w:p>
          <w:p w14:paraId="04715EBD" w14:textId="77777777" w:rsidR="00B84CA8" w:rsidRDefault="00B84CA8" w:rsidP="00B84CA8">
            <w:pPr>
              <w:rPr>
                <w:rFonts w:cs="Arial"/>
              </w:rPr>
            </w:pPr>
          </w:p>
          <w:p w14:paraId="171B7DE3" w14:textId="26738595" w:rsidR="00B84CA8" w:rsidRPr="007808CB" w:rsidRDefault="00B84CA8" w:rsidP="00B84CA8">
            <w:pPr>
              <w:rPr>
                <w:rFonts w:cs="Arial"/>
                <w:b/>
                <w:bCs/>
              </w:rPr>
            </w:pPr>
            <w:r w:rsidRPr="007808CB">
              <w:rPr>
                <w:rFonts w:cs="Arial"/>
                <w:b/>
                <w:bCs/>
              </w:rPr>
              <w:t>£10</w:t>
            </w:r>
          </w:p>
        </w:tc>
        <w:tc>
          <w:tcPr>
            <w:tcW w:w="2254" w:type="dxa"/>
          </w:tcPr>
          <w:p w14:paraId="6938FDD6" w14:textId="77777777" w:rsidR="00B84CA8" w:rsidRPr="007808CB" w:rsidRDefault="00B84CA8" w:rsidP="00B84CA8">
            <w:pPr>
              <w:rPr>
                <w:rFonts w:cs="Arial"/>
                <w:i/>
                <w:iCs/>
              </w:rPr>
            </w:pPr>
            <w:r w:rsidRPr="007808CB">
              <w:rPr>
                <w:rFonts w:cs="Arial"/>
                <w:i/>
                <w:iCs/>
              </w:rPr>
              <w:t>£0.01</w:t>
            </w:r>
          </w:p>
          <w:p w14:paraId="4A6EE5D0" w14:textId="77777777" w:rsidR="00B84CA8" w:rsidRDefault="00B84CA8" w:rsidP="00B84CA8">
            <w:pPr>
              <w:rPr>
                <w:rFonts w:cs="Arial"/>
              </w:rPr>
            </w:pPr>
          </w:p>
          <w:p w14:paraId="14B9327A" w14:textId="1B734C0F" w:rsidR="00B84CA8" w:rsidRPr="007808CB" w:rsidRDefault="00B84CA8" w:rsidP="00B84CA8">
            <w:pPr>
              <w:rPr>
                <w:rFonts w:cs="Arial"/>
                <w:b/>
                <w:bCs/>
              </w:rPr>
            </w:pPr>
            <w:r w:rsidRPr="007808CB">
              <w:rPr>
                <w:rFonts w:cs="Arial"/>
                <w:b/>
                <w:bCs/>
              </w:rPr>
              <w:t>£10</w:t>
            </w:r>
          </w:p>
        </w:tc>
        <w:tc>
          <w:tcPr>
            <w:tcW w:w="2254" w:type="dxa"/>
          </w:tcPr>
          <w:p w14:paraId="083A4B6E" w14:textId="77777777" w:rsidR="00B84CA8" w:rsidRPr="007808CB" w:rsidRDefault="00B84CA8" w:rsidP="00B84CA8">
            <w:pPr>
              <w:rPr>
                <w:rFonts w:cs="Arial"/>
                <w:i/>
                <w:iCs/>
              </w:rPr>
            </w:pPr>
            <w:r w:rsidRPr="007808CB">
              <w:rPr>
                <w:rFonts w:cs="Arial"/>
                <w:i/>
                <w:iCs/>
              </w:rPr>
              <w:t xml:space="preserve">Disproportionate </w:t>
            </w:r>
          </w:p>
          <w:p w14:paraId="1FD230F6" w14:textId="4036F4F1" w:rsidR="00B84CA8" w:rsidRDefault="00B84CA8" w:rsidP="00B84CA8">
            <w:pPr>
              <w:rPr>
                <w:rFonts w:cs="Arial"/>
              </w:rPr>
            </w:pPr>
            <w:r w:rsidRPr="007808CB">
              <w:rPr>
                <w:rFonts w:cs="Arial"/>
                <w:i/>
                <w:iCs/>
              </w:rPr>
              <w:t>effort</w:t>
            </w:r>
          </w:p>
        </w:tc>
      </w:tr>
      <w:tr w:rsidR="00B84CA8" w14:paraId="5C1E502E" w14:textId="77777777" w:rsidTr="00B84CA8">
        <w:tc>
          <w:tcPr>
            <w:tcW w:w="2254" w:type="dxa"/>
          </w:tcPr>
          <w:p w14:paraId="2AA7DADC" w14:textId="77777777" w:rsidR="00B84CA8" w:rsidRPr="007808CB" w:rsidRDefault="00B84CA8" w:rsidP="00B84CA8">
            <w:pPr>
              <w:rPr>
                <w:rFonts w:cs="Arial"/>
                <w:b/>
                <w:bCs/>
              </w:rPr>
            </w:pPr>
            <w:r w:rsidRPr="007808CB">
              <w:rPr>
                <w:rFonts w:cs="Arial"/>
                <w:b/>
                <w:bCs/>
              </w:rPr>
              <w:t>Disbursements –</w:t>
            </w:r>
          </w:p>
          <w:p w14:paraId="55EB77C1" w14:textId="79BFEB12" w:rsidR="00B84CA8" w:rsidRPr="007808CB" w:rsidRDefault="00B84CA8" w:rsidP="00B84CA8">
            <w:pPr>
              <w:rPr>
                <w:rFonts w:cs="Arial"/>
                <w:b/>
                <w:bCs/>
              </w:rPr>
            </w:pPr>
            <w:r w:rsidRPr="007808CB">
              <w:rPr>
                <w:rFonts w:cs="Arial"/>
                <w:b/>
                <w:bCs/>
              </w:rPr>
              <w:t>photocopying/ scanning rate</w:t>
            </w:r>
          </w:p>
        </w:tc>
        <w:tc>
          <w:tcPr>
            <w:tcW w:w="2254" w:type="dxa"/>
          </w:tcPr>
          <w:p w14:paraId="455E06CC" w14:textId="5E22FED6" w:rsidR="00B84CA8" w:rsidRPr="007808CB" w:rsidRDefault="00B84CA8" w:rsidP="00B84CA8">
            <w:pPr>
              <w:rPr>
                <w:rFonts w:cs="Arial"/>
                <w:i/>
                <w:iCs/>
              </w:rPr>
            </w:pPr>
            <w:r w:rsidRPr="007808CB">
              <w:rPr>
                <w:rFonts w:cs="Arial"/>
                <w:i/>
                <w:iCs/>
              </w:rPr>
              <w:t>Reasonable</w:t>
            </w:r>
          </w:p>
        </w:tc>
        <w:tc>
          <w:tcPr>
            <w:tcW w:w="2254" w:type="dxa"/>
          </w:tcPr>
          <w:p w14:paraId="4337983A" w14:textId="1A5F1F24" w:rsidR="00B84CA8" w:rsidRPr="007808CB" w:rsidRDefault="00B84CA8" w:rsidP="00B84CA8">
            <w:pPr>
              <w:rPr>
                <w:rFonts w:cs="Arial"/>
                <w:i/>
                <w:iCs/>
              </w:rPr>
            </w:pPr>
            <w:r w:rsidRPr="007808CB">
              <w:rPr>
                <w:rFonts w:cs="Arial"/>
                <w:i/>
                <w:iCs/>
              </w:rPr>
              <w:t>Reasonable</w:t>
            </w:r>
          </w:p>
        </w:tc>
        <w:tc>
          <w:tcPr>
            <w:tcW w:w="2254" w:type="dxa"/>
          </w:tcPr>
          <w:p w14:paraId="46D7B3EC" w14:textId="250BB2B8" w:rsidR="00B84CA8" w:rsidRPr="007808CB" w:rsidRDefault="00B84CA8" w:rsidP="00B84CA8">
            <w:pPr>
              <w:rPr>
                <w:rFonts w:cs="Arial"/>
                <w:i/>
                <w:iCs/>
              </w:rPr>
            </w:pPr>
            <w:r w:rsidRPr="007808CB">
              <w:rPr>
                <w:rFonts w:cs="Arial"/>
                <w:i/>
                <w:iCs/>
              </w:rPr>
              <w:t>n/a</w:t>
            </w:r>
          </w:p>
        </w:tc>
      </w:tr>
    </w:tbl>
    <w:p w14:paraId="413E78F4" w14:textId="77777777" w:rsidR="00B84CA8" w:rsidRPr="00B84CA8" w:rsidRDefault="00B84CA8" w:rsidP="00B84CA8">
      <w:pPr>
        <w:rPr>
          <w:rFonts w:cs="Arial"/>
        </w:rPr>
      </w:pPr>
    </w:p>
    <w:p w14:paraId="7E31CFD0" w14:textId="26668666" w:rsidR="00B84CA8" w:rsidRPr="00B84CA8" w:rsidRDefault="00B84CA8" w:rsidP="00B84CA8">
      <w:pPr>
        <w:pStyle w:val="ListParagraph"/>
        <w:numPr>
          <w:ilvl w:val="0"/>
          <w:numId w:val="2"/>
        </w:numPr>
        <w:rPr>
          <w:rFonts w:cs="Arial"/>
          <w:b/>
          <w:bCs/>
        </w:rPr>
      </w:pPr>
      <w:r>
        <w:rPr>
          <w:rFonts w:cs="Arial"/>
          <w:b/>
          <w:bCs/>
        </w:rPr>
        <w:t>Responsibilities</w:t>
      </w:r>
    </w:p>
    <w:p w14:paraId="71346621" w14:textId="77777777" w:rsidR="00B84CA8" w:rsidRDefault="00B84CA8" w:rsidP="00B84CA8">
      <w:pPr>
        <w:rPr>
          <w:rFonts w:cs="Arial"/>
        </w:rPr>
      </w:pPr>
    </w:p>
    <w:p w14:paraId="5213B324" w14:textId="251D76FE" w:rsidR="00B84CA8" w:rsidRPr="00B84CA8" w:rsidRDefault="007808CB" w:rsidP="00B84CA8">
      <w:pPr>
        <w:pStyle w:val="ListParagraph"/>
        <w:numPr>
          <w:ilvl w:val="1"/>
          <w:numId w:val="2"/>
        </w:numPr>
        <w:rPr>
          <w:rFonts w:cs="Arial"/>
        </w:rPr>
      </w:pPr>
      <w:r w:rsidRPr="00A85F02">
        <w:rPr>
          <w:rFonts w:cs="Arial"/>
        </w:rPr>
        <w:t>Taith</w:t>
      </w:r>
      <w:r w:rsidR="00B84CA8" w:rsidRPr="00A85F02">
        <w:rPr>
          <w:rFonts w:cs="Arial"/>
        </w:rPr>
        <w:t xml:space="preserve"> is required to have a charging policy with respect to the Environmental Information </w:t>
      </w:r>
      <w:r w:rsidR="00B84CA8" w:rsidRPr="00B84CA8">
        <w:rPr>
          <w:rFonts w:cs="Arial"/>
        </w:rPr>
        <w:t xml:space="preserve">Regulations and to publicise this policy. </w:t>
      </w:r>
    </w:p>
    <w:p w14:paraId="47F5727A" w14:textId="152B15EF" w:rsidR="00B84CA8" w:rsidRPr="00B84CA8" w:rsidRDefault="00B84CA8" w:rsidP="00B84CA8">
      <w:pPr>
        <w:pStyle w:val="ListParagraph"/>
        <w:numPr>
          <w:ilvl w:val="1"/>
          <w:numId w:val="2"/>
        </w:numPr>
        <w:rPr>
          <w:rFonts w:cs="Arial"/>
        </w:rPr>
      </w:pPr>
      <w:r w:rsidRPr="00B84CA8">
        <w:rPr>
          <w:rFonts w:cs="Arial"/>
        </w:rPr>
        <w:t xml:space="preserve">The Senior Officer responsible for compliance with the legislation and collection of any related charges is the Senior Information Risk Owner. </w:t>
      </w:r>
    </w:p>
    <w:p w14:paraId="026C007A" w14:textId="563A254D" w:rsidR="00B84CA8" w:rsidRPr="00030F8D" w:rsidRDefault="00B84CA8" w:rsidP="00B84CA8">
      <w:pPr>
        <w:pStyle w:val="ListParagraph"/>
        <w:numPr>
          <w:ilvl w:val="1"/>
          <w:numId w:val="2"/>
        </w:numPr>
        <w:rPr>
          <w:rFonts w:cs="Arial"/>
        </w:rPr>
      </w:pPr>
      <w:r w:rsidRPr="00B84CA8">
        <w:rPr>
          <w:rFonts w:cs="Arial"/>
        </w:rPr>
        <w:t>In accordance with the Data Protection Policy the Senior Information Risk Owner shall nominate a Data Protection Officer who shall be responsible for the administration of the relevant charges.</w:t>
      </w:r>
    </w:p>
    <w:p w14:paraId="03428FCB" w14:textId="5DEF2F2A" w:rsidR="479B4B9A" w:rsidRDefault="479B4B9A" w:rsidP="479B4B9A">
      <w:pPr>
        <w:rPr>
          <w:rFonts w:cs="Arial"/>
        </w:rPr>
      </w:pPr>
    </w:p>
    <w:p w14:paraId="1F11BAB0" w14:textId="77F3479F" w:rsidR="00B84CA8" w:rsidRPr="00B84CA8" w:rsidRDefault="00B84CA8" w:rsidP="00B84CA8">
      <w:pPr>
        <w:pStyle w:val="ListParagraph"/>
        <w:numPr>
          <w:ilvl w:val="0"/>
          <w:numId w:val="2"/>
        </w:numPr>
        <w:rPr>
          <w:rFonts w:cs="Arial"/>
          <w:b/>
          <w:bCs/>
        </w:rPr>
      </w:pPr>
      <w:r>
        <w:rPr>
          <w:rFonts w:cs="Arial"/>
          <w:b/>
          <w:bCs/>
        </w:rPr>
        <w:t>Compliance</w:t>
      </w:r>
    </w:p>
    <w:p w14:paraId="2FEDCB84" w14:textId="77777777" w:rsidR="00B84CA8" w:rsidRDefault="00B84CA8" w:rsidP="00B84CA8">
      <w:pPr>
        <w:rPr>
          <w:rFonts w:cs="Arial"/>
        </w:rPr>
      </w:pPr>
    </w:p>
    <w:p w14:paraId="41286B85" w14:textId="093E587E" w:rsidR="00B84CA8" w:rsidRPr="00B84CA8" w:rsidRDefault="00B84CA8" w:rsidP="00B84CA8">
      <w:pPr>
        <w:pStyle w:val="ListParagraph"/>
        <w:numPr>
          <w:ilvl w:val="1"/>
          <w:numId w:val="2"/>
        </w:numPr>
        <w:rPr>
          <w:rFonts w:cs="Arial"/>
        </w:rPr>
      </w:pPr>
      <w:r w:rsidRPr="00B84CA8">
        <w:rPr>
          <w:rFonts w:cs="Arial"/>
        </w:rPr>
        <w:t xml:space="preserve">Any queries or complaints arising from this policy should be directed in the first </w:t>
      </w:r>
      <w:r w:rsidRPr="00A85F02">
        <w:rPr>
          <w:rFonts w:cs="Arial"/>
        </w:rPr>
        <w:t xml:space="preserve">instance to </w:t>
      </w:r>
      <w:r w:rsidR="00E41E01" w:rsidRPr="00A85F02">
        <w:rPr>
          <w:rFonts w:cs="Arial"/>
        </w:rPr>
        <w:t>Taith</w:t>
      </w:r>
      <w:r w:rsidRPr="00A85F02">
        <w:rPr>
          <w:rFonts w:cs="Arial"/>
        </w:rPr>
        <w:t xml:space="preserve"> </w:t>
      </w:r>
      <w:r w:rsidRPr="00B84CA8">
        <w:rPr>
          <w:rFonts w:cs="Arial"/>
        </w:rPr>
        <w:t xml:space="preserve">at </w:t>
      </w:r>
      <w:hyperlink r:id="rId11" w:history="1">
        <w:r w:rsidR="00E41E01" w:rsidRPr="000C5DAB">
          <w:rPr>
            <w:rStyle w:val="Hyperlink"/>
            <w:rFonts w:cs="Arial"/>
          </w:rPr>
          <w:t>enquiries@taith.wales</w:t>
        </w:r>
      </w:hyperlink>
      <w:r w:rsidR="00E41E01">
        <w:rPr>
          <w:rFonts w:cs="Arial"/>
        </w:rPr>
        <w:t xml:space="preserve">. </w:t>
      </w:r>
    </w:p>
    <w:p w14:paraId="6C23522D" w14:textId="77777777" w:rsidR="00B84CA8" w:rsidRDefault="00B84CA8" w:rsidP="00B84CA8">
      <w:pPr>
        <w:rPr>
          <w:rFonts w:cs="Arial"/>
        </w:rPr>
      </w:pPr>
    </w:p>
    <w:p w14:paraId="46B1B012" w14:textId="356C1E21" w:rsidR="00B84CA8" w:rsidRPr="00B84CA8" w:rsidRDefault="00B84CA8" w:rsidP="00B84CA8">
      <w:pPr>
        <w:pStyle w:val="ListParagraph"/>
        <w:numPr>
          <w:ilvl w:val="0"/>
          <w:numId w:val="2"/>
        </w:numPr>
        <w:rPr>
          <w:rFonts w:cs="Arial"/>
          <w:b/>
          <w:bCs/>
        </w:rPr>
      </w:pPr>
      <w:r>
        <w:rPr>
          <w:rFonts w:cs="Arial"/>
          <w:b/>
          <w:bCs/>
        </w:rPr>
        <w:t>Key definitions</w:t>
      </w:r>
    </w:p>
    <w:p w14:paraId="3A7E674F" w14:textId="77777777" w:rsidR="00B84CA8" w:rsidRDefault="00B84CA8" w:rsidP="00B84CA8">
      <w:pPr>
        <w:rPr>
          <w:rFonts w:cs="Arial"/>
        </w:rPr>
      </w:pPr>
    </w:p>
    <w:p w14:paraId="29BC8BD1" w14:textId="0FCCAFBC" w:rsidR="00B84CA8" w:rsidRPr="00E41E01" w:rsidRDefault="00B84CA8" w:rsidP="00B84CA8">
      <w:pPr>
        <w:rPr>
          <w:rFonts w:cs="Arial"/>
          <w:b/>
          <w:bCs/>
          <w:i/>
          <w:iCs/>
        </w:rPr>
      </w:pPr>
      <w:r w:rsidRPr="00E41E01">
        <w:rPr>
          <w:rFonts w:cs="Arial"/>
          <w:b/>
          <w:bCs/>
          <w:i/>
          <w:iCs/>
        </w:rPr>
        <w:t>Senior Information Risk Owner</w:t>
      </w:r>
    </w:p>
    <w:p w14:paraId="357D8F10" w14:textId="77777777" w:rsidR="00B84CA8" w:rsidRDefault="00B84CA8" w:rsidP="00B84CA8">
      <w:pPr>
        <w:rPr>
          <w:rFonts w:cs="Arial"/>
        </w:rPr>
      </w:pPr>
    </w:p>
    <w:p w14:paraId="414C8C45" w14:textId="25C71EDB" w:rsidR="00B84CA8" w:rsidRPr="00A85F02" w:rsidRDefault="00B84CA8" w:rsidP="00B84CA8">
      <w:pPr>
        <w:rPr>
          <w:rFonts w:cs="Arial"/>
        </w:rPr>
      </w:pPr>
      <w:r w:rsidRPr="00A85F02">
        <w:rPr>
          <w:rFonts w:cs="Arial"/>
        </w:rPr>
        <w:t xml:space="preserve">As defined in </w:t>
      </w:r>
      <w:r w:rsidR="00E41E01" w:rsidRPr="00A85F02">
        <w:rPr>
          <w:rFonts w:cs="Arial"/>
        </w:rPr>
        <w:t>Taith Data Protection Policy</w:t>
      </w:r>
    </w:p>
    <w:p w14:paraId="33959849" w14:textId="77777777" w:rsidR="00E41E01" w:rsidRPr="00B84CA8" w:rsidRDefault="00E41E01" w:rsidP="00B84CA8">
      <w:pPr>
        <w:rPr>
          <w:rFonts w:cs="Arial"/>
        </w:rPr>
      </w:pPr>
    </w:p>
    <w:p w14:paraId="30AE0783" w14:textId="77777777" w:rsidR="00B84CA8" w:rsidRPr="00E41E01" w:rsidRDefault="00B84CA8" w:rsidP="00B84CA8">
      <w:pPr>
        <w:rPr>
          <w:rFonts w:cs="Arial"/>
          <w:b/>
          <w:bCs/>
          <w:i/>
          <w:iCs/>
        </w:rPr>
      </w:pPr>
      <w:r w:rsidRPr="00E41E01">
        <w:rPr>
          <w:rFonts w:cs="Arial"/>
          <w:b/>
          <w:bCs/>
          <w:i/>
          <w:iCs/>
        </w:rPr>
        <w:t>Fees Regulations</w:t>
      </w:r>
    </w:p>
    <w:p w14:paraId="175CF4E5" w14:textId="77777777" w:rsidR="00B84CA8" w:rsidRDefault="00B84CA8" w:rsidP="00B84CA8">
      <w:pPr>
        <w:rPr>
          <w:rFonts w:cs="Arial"/>
        </w:rPr>
      </w:pPr>
    </w:p>
    <w:p w14:paraId="1F62FB44" w14:textId="2CE63A72" w:rsidR="00B84CA8" w:rsidRPr="00B84CA8" w:rsidRDefault="00B84CA8" w:rsidP="00B84CA8">
      <w:pPr>
        <w:rPr>
          <w:rFonts w:cs="Arial"/>
        </w:rPr>
      </w:pPr>
      <w:r w:rsidRPr="00B84CA8">
        <w:rPr>
          <w:rFonts w:cs="Arial"/>
        </w:rPr>
        <w:t xml:space="preserve">As described in the Freedom of Information and Data Protection (Appropriate Limit </w:t>
      </w:r>
    </w:p>
    <w:p w14:paraId="334E2EE7" w14:textId="77777777" w:rsidR="00B84CA8" w:rsidRPr="00B84CA8" w:rsidRDefault="00B84CA8" w:rsidP="00B84CA8">
      <w:pPr>
        <w:rPr>
          <w:rFonts w:cs="Arial"/>
        </w:rPr>
      </w:pPr>
      <w:r w:rsidRPr="00B84CA8">
        <w:rPr>
          <w:rFonts w:cs="Arial"/>
        </w:rPr>
        <w:t>and Fees) Regulations 2004</w:t>
      </w:r>
    </w:p>
    <w:p w14:paraId="78E445F2" w14:textId="77777777" w:rsidR="00B84CA8" w:rsidRDefault="00B84CA8" w:rsidP="00B84CA8">
      <w:pPr>
        <w:rPr>
          <w:rFonts w:cs="Arial"/>
        </w:rPr>
      </w:pPr>
    </w:p>
    <w:p w14:paraId="451313CC" w14:textId="368E811B" w:rsidR="008B0899" w:rsidRDefault="00000000" w:rsidP="008B0899">
      <w:hyperlink r:id="rId12" w:history="1">
        <w:r w:rsidR="00B84CA8" w:rsidRPr="000C5DAB">
          <w:rPr>
            <w:rStyle w:val="Hyperlink"/>
            <w:rFonts w:cs="Arial"/>
          </w:rPr>
          <w:t>http://www.legislation.gov.uk/uksi/2004/3244/contents/made</w:t>
        </w:r>
      </w:hyperlink>
      <w:r w:rsidR="00B84CA8">
        <w:rPr>
          <w:rFonts w:cs="Arial"/>
        </w:rPr>
        <w:t xml:space="preserve"> </w:t>
      </w:r>
    </w:p>
    <w:p w14:paraId="07EB57D3" w14:textId="77777777" w:rsidR="008B0899" w:rsidRDefault="008B0899" w:rsidP="008B0899"/>
    <w:p w14:paraId="10C4FD8A" w14:textId="28946C5A" w:rsidR="00A17EF7" w:rsidRDefault="00A17EF7" w:rsidP="008B0899">
      <w:r>
        <w:t xml:space="preserve">Welsh Policy for copying: </w:t>
      </w:r>
      <w:hyperlink r:id="rId13" w:history="1">
        <w:r>
          <w:rPr>
            <w:rStyle w:val="Hyperlink"/>
          </w:rPr>
          <w:t>Data Protection Policy (cardiff.ac.uk)</w:t>
        </w:r>
      </w:hyperlink>
    </w:p>
    <w:p w14:paraId="6A94DD8A" w14:textId="77777777" w:rsidR="008B0899" w:rsidRDefault="008B0899"/>
    <w:sectPr w:rsidR="008B0899" w:rsidSect="00C1698B">
      <w:headerReference w:type="default" r:id="rId14"/>
      <w:footerReference w:type="default" r:id="rId15"/>
      <w:pgSz w:w="11906" w:h="16838"/>
      <w:pgMar w:top="2268" w:right="1440" w:bottom="22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CBE65" w14:textId="77777777" w:rsidR="00C1698B" w:rsidRDefault="00C1698B" w:rsidP="00D279BE">
      <w:r>
        <w:separator/>
      </w:r>
    </w:p>
  </w:endnote>
  <w:endnote w:type="continuationSeparator" w:id="0">
    <w:p w14:paraId="48E2134D" w14:textId="77777777" w:rsidR="00C1698B" w:rsidRDefault="00C1698B" w:rsidP="00D27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766BE" w14:textId="77777777" w:rsidR="008B0899" w:rsidRDefault="008B0899">
    <w:pPr>
      <w:pStyle w:val="Footer"/>
    </w:pPr>
    <w:r>
      <w:rPr>
        <w:noProof/>
      </w:rPr>
      <w:drawing>
        <wp:anchor distT="0" distB="0" distL="114300" distR="114300" simplePos="0" relativeHeight="251665408" behindDoc="1" locked="0" layoutInCell="1" allowOverlap="1" wp14:anchorId="5F8EE0EE" wp14:editId="0757EF8B">
          <wp:simplePos x="0" y="0"/>
          <wp:positionH relativeFrom="column">
            <wp:posOffset>4757946</wp:posOffset>
          </wp:positionH>
          <wp:positionV relativeFrom="paragraph">
            <wp:posOffset>-1307465</wp:posOffset>
          </wp:positionV>
          <wp:extent cx="3090041" cy="30900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alphaModFix/>
                    <a:extLst>
                      <a:ext uri="{28A0092B-C50C-407E-A947-70E740481C1C}">
                        <a14:useLocalDpi xmlns:a14="http://schemas.microsoft.com/office/drawing/2010/main" val="0"/>
                      </a:ext>
                    </a:extLst>
                  </a:blip>
                  <a:stretch>
                    <a:fillRect/>
                  </a:stretch>
                </pic:blipFill>
                <pic:spPr>
                  <a:xfrm>
                    <a:off x="0" y="0"/>
                    <a:ext cx="3090041" cy="309004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5614C" w14:textId="77777777" w:rsidR="00C1698B" w:rsidRDefault="00C1698B" w:rsidP="00D279BE">
      <w:r>
        <w:separator/>
      </w:r>
    </w:p>
  </w:footnote>
  <w:footnote w:type="continuationSeparator" w:id="0">
    <w:p w14:paraId="04D59CAA" w14:textId="77777777" w:rsidR="00C1698B" w:rsidRDefault="00C1698B" w:rsidP="00D27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960B" w14:textId="77777777" w:rsidR="00D279BE" w:rsidRDefault="008B0899">
    <w:pPr>
      <w:pStyle w:val="Header"/>
    </w:pPr>
    <w:r>
      <w:rPr>
        <w:noProof/>
      </w:rPr>
      <w:drawing>
        <wp:anchor distT="0" distB="0" distL="114300" distR="114300" simplePos="0" relativeHeight="251663360" behindDoc="1" locked="0" layoutInCell="1" allowOverlap="1" wp14:anchorId="5F8E38FD" wp14:editId="6E2D3D51">
          <wp:simplePos x="0" y="0"/>
          <wp:positionH relativeFrom="column">
            <wp:posOffset>-2162569</wp:posOffset>
          </wp:positionH>
          <wp:positionV relativeFrom="paragraph">
            <wp:posOffset>-1676378</wp:posOffset>
          </wp:positionV>
          <wp:extent cx="3090041" cy="309004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alphaModFix/>
                    <a:extLst>
                      <a:ext uri="{28A0092B-C50C-407E-A947-70E740481C1C}">
                        <a14:useLocalDpi xmlns:a14="http://schemas.microsoft.com/office/drawing/2010/main" val="0"/>
                      </a:ext>
                    </a:extLst>
                  </a:blip>
                  <a:stretch>
                    <a:fillRect/>
                  </a:stretch>
                </pic:blipFill>
                <pic:spPr>
                  <a:xfrm rot="10800000">
                    <a:off x="0" y="0"/>
                    <a:ext cx="3090041" cy="3090041"/>
                  </a:xfrm>
                  <a:prstGeom prst="rect">
                    <a:avLst/>
                  </a:prstGeom>
                </pic:spPr>
              </pic:pic>
            </a:graphicData>
          </a:graphic>
          <wp14:sizeRelH relativeFrom="page">
            <wp14:pctWidth>0</wp14:pctWidth>
          </wp14:sizeRelH>
          <wp14:sizeRelV relativeFrom="page">
            <wp14:pctHeight>0</wp14:pctHeight>
          </wp14:sizeRelV>
        </wp:anchor>
      </w:drawing>
    </w:r>
    <w:r w:rsidR="00D279BE">
      <w:rPr>
        <w:noProof/>
      </w:rPr>
      <w:drawing>
        <wp:anchor distT="0" distB="0" distL="114300" distR="114300" simplePos="0" relativeHeight="251659264" behindDoc="1" locked="0" layoutInCell="1" allowOverlap="1" wp14:anchorId="58962C7C" wp14:editId="143565CB">
          <wp:simplePos x="0" y="0"/>
          <wp:positionH relativeFrom="column">
            <wp:posOffset>4859079</wp:posOffset>
          </wp:positionH>
          <wp:positionV relativeFrom="paragraph">
            <wp:posOffset>-287965</wp:posOffset>
          </wp:positionV>
          <wp:extent cx="1412875" cy="998855"/>
          <wp:effectExtent l="0" t="0" r="0" b="0"/>
          <wp:wrapTight wrapText="bothSides">
            <wp:wrapPolygon edited="0">
              <wp:start x="9514" y="4943"/>
              <wp:lineTo x="4466" y="7140"/>
              <wp:lineTo x="2912" y="8239"/>
              <wp:lineTo x="2912" y="9887"/>
              <wp:lineTo x="5048" y="14281"/>
              <wp:lineTo x="4854" y="16478"/>
              <wp:lineTo x="18445" y="16478"/>
              <wp:lineTo x="18833" y="11809"/>
              <wp:lineTo x="16115" y="10711"/>
              <wp:lineTo x="8543" y="9887"/>
              <wp:lineTo x="10679" y="6866"/>
              <wp:lineTo x="10484" y="4943"/>
              <wp:lineTo x="9514" y="494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412875" cy="9988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109BC"/>
    <w:multiLevelType w:val="hybridMultilevel"/>
    <w:tmpl w:val="D7CE7D28"/>
    <w:lvl w:ilvl="0" w:tplc="5A92019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AE56DD"/>
    <w:multiLevelType w:val="hybridMultilevel"/>
    <w:tmpl w:val="B9B030A0"/>
    <w:lvl w:ilvl="0" w:tplc="7C3A5C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D43244"/>
    <w:multiLevelType w:val="hybridMultilevel"/>
    <w:tmpl w:val="2828E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054ABF"/>
    <w:multiLevelType w:val="hybridMultilevel"/>
    <w:tmpl w:val="7E365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2570E0"/>
    <w:multiLevelType w:val="multilevel"/>
    <w:tmpl w:val="3690BF40"/>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4293E3F"/>
    <w:multiLevelType w:val="hybridMultilevel"/>
    <w:tmpl w:val="54B4E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D460FB"/>
    <w:multiLevelType w:val="hybridMultilevel"/>
    <w:tmpl w:val="6CEE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E55082"/>
    <w:multiLevelType w:val="hybridMultilevel"/>
    <w:tmpl w:val="B094B51C"/>
    <w:lvl w:ilvl="0" w:tplc="5A92019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EB0064"/>
    <w:multiLevelType w:val="multilevel"/>
    <w:tmpl w:val="3690BF40"/>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60812023">
    <w:abstractNumId w:val="5"/>
  </w:num>
  <w:num w:numId="2" w16cid:durableId="948195456">
    <w:abstractNumId w:val="4"/>
  </w:num>
  <w:num w:numId="3" w16cid:durableId="1946573372">
    <w:abstractNumId w:val="6"/>
  </w:num>
  <w:num w:numId="4" w16cid:durableId="1670938600">
    <w:abstractNumId w:val="0"/>
  </w:num>
  <w:num w:numId="5" w16cid:durableId="1812405635">
    <w:abstractNumId w:val="7"/>
  </w:num>
  <w:num w:numId="6" w16cid:durableId="1980845737">
    <w:abstractNumId w:val="8"/>
  </w:num>
  <w:num w:numId="7" w16cid:durableId="260065783">
    <w:abstractNumId w:val="2"/>
  </w:num>
  <w:num w:numId="8" w16cid:durableId="1668435390">
    <w:abstractNumId w:val="1"/>
  </w:num>
  <w:num w:numId="9" w16cid:durableId="998532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A8"/>
    <w:rsid w:val="00030F8D"/>
    <w:rsid w:val="00427CFE"/>
    <w:rsid w:val="00430C56"/>
    <w:rsid w:val="0072509D"/>
    <w:rsid w:val="007808CB"/>
    <w:rsid w:val="008B0899"/>
    <w:rsid w:val="009E182D"/>
    <w:rsid w:val="00A17EF7"/>
    <w:rsid w:val="00A2196D"/>
    <w:rsid w:val="00A85F02"/>
    <w:rsid w:val="00B84CA8"/>
    <w:rsid w:val="00C1698B"/>
    <w:rsid w:val="00CE2F1A"/>
    <w:rsid w:val="00D279BE"/>
    <w:rsid w:val="00D817A6"/>
    <w:rsid w:val="00E41E01"/>
    <w:rsid w:val="00E8682F"/>
    <w:rsid w:val="00EE7CC0"/>
    <w:rsid w:val="00EF35E3"/>
    <w:rsid w:val="00FB1A3B"/>
    <w:rsid w:val="0499C453"/>
    <w:rsid w:val="2059F9E6"/>
    <w:rsid w:val="23002CD0"/>
    <w:rsid w:val="479B4B9A"/>
    <w:rsid w:val="661A87F6"/>
    <w:rsid w:val="7D783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B1ED"/>
  <w15:chartTrackingRefBased/>
  <w15:docId w15:val="{EAB15B2B-F1BE-4956-B617-F18215BF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C56"/>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9BE"/>
    <w:pPr>
      <w:tabs>
        <w:tab w:val="center" w:pos="4513"/>
        <w:tab w:val="right" w:pos="9026"/>
      </w:tabs>
    </w:pPr>
  </w:style>
  <w:style w:type="character" w:customStyle="1" w:styleId="HeaderChar">
    <w:name w:val="Header Char"/>
    <w:basedOn w:val="DefaultParagraphFont"/>
    <w:link w:val="Header"/>
    <w:uiPriority w:val="99"/>
    <w:rsid w:val="00D279BE"/>
  </w:style>
  <w:style w:type="paragraph" w:styleId="Footer">
    <w:name w:val="footer"/>
    <w:basedOn w:val="Normal"/>
    <w:link w:val="FooterChar"/>
    <w:uiPriority w:val="99"/>
    <w:unhideWhenUsed/>
    <w:rsid w:val="00D279BE"/>
    <w:pPr>
      <w:tabs>
        <w:tab w:val="center" w:pos="4513"/>
        <w:tab w:val="right" w:pos="9026"/>
      </w:tabs>
    </w:pPr>
  </w:style>
  <w:style w:type="character" w:customStyle="1" w:styleId="FooterChar">
    <w:name w:val="Footer Char"/>
    <w:basedOn w:val="DefaultParagraphFont"/>
    <w:link w:val="Footer"/>
    <w:uiPriority w:val="99"/>
    <w:rsid w:val="00D279BE"/>
  </w:style>
  <w:style w:type="paragraph" w:styleId="ListParagraph">
    <w:name w:val="List Paragraph"/>
    <w:basedOn w:val="Normal"/>
    <w:uiPriority w:val="34"/>
    <w:qFormat/>
    <w:rsid w:val="00B84CA8"/>
    <w:pPr>
      <w:ind w:left="720"/>
      <w:contextualSpacing/>
    </w:pPr>
  </w:style>
  <w:style w:type="table" w:styleId="TableGrid">
    <w:name w:val="Table Grid"/>
    <w:basedOn w:val="TableNormal"/>
    <w:uiPriority w:val="39"/>
    <w:rsid w:val="00B84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4CA8"/>
    <w:rPr>
      <w:color w:val="0563C1" w:themeColor="hyperlink"/>
      <w:u w:val="single"/>
    </w:rPr>
  </w:style>
  <w:style w:type="character" w:styleId="UnresolvedMention">
    <w:name w:val="Unresolved Mention"/>
    <w:basedOn w:val="DefaultParagraphFont"/>
    <w:uiPriority w:val="99"/>
    <w:semiHidden/>
    <w:unhideWhenUsed/>
    <w:rsid w:val="00B84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ac.uk/__data/assets/pdf_file/0004/173326/InformationChargingPolicyMarch2021-v1.3-en_gb-cy-C.pdf"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si/2004/3244/contents/ma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taith.wal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gld14\Downloads\Taith-WordDoc-Temp-v2%20(pag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C3880C27775D439F8B21F79DE9D76B" ma:contentTypeVersion="19" ma:contentTypeDescription="Create a new document." ma:contentTypeScope="" ma:versionID="40944a9a376835992032345a329f210b">
  <xsd:schema xmlns:xsd="http://www.w3.org/2001/XMLSchema" xmlns:xs="http://www.w3.org/2001/XMLSchema" xmlns:p="http://schemas.microsoft.com/office/2006/metadata/properties" xmlns:ns2="2c953c63-71e5-4946-a7ed-b9134f4f0d9c" xmlns:ns3="3712f2ea-c80a-4882-97e5-e3b99cc679c4" targetNamespace="http://schemas.microsoft.com/office/2006/metadata/properties" ma:root="true" ma:fieldsID="52fbb639fee1956ad2b3beec1493bfb3" ns2:_="" ns3:_="">
    <xsd:import namespace="2c953c63-71e5-4946-a7ed-b9134f4f0d9c"/>
    <xsd:import namespace="3712f2ea-c80a-4882-97e5-e3b99cc679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53c63-71e5-4946-a7ed-b9134f4f0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2f2ea-c80a-4882-97e5-e3b99cc679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7ac13e-079c-4e09-a538-48149cdd8286}" ma:internalName="TaxCatchAll" ma:showField="CatchAllData" ma:web="3712f2ea-c80a-4882-97e5-e3b99cc679c4">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712f2ea-c80a-4882-97e5-e3b99cc679c4" xsi:nil="true"/>
    <lcf76f155ced4ddcb4097134ff3c332f xmlns="2c953c63-71e5-4946-a7ed-b9134f4f0d9c">
      <Terms xmlns="http://schemas.microsoft.com/office/infopath/2007/PartnerControls"/>
    </lcf76f155ced4ddcb4097134ff3c332f>
    <_dlc_DocId xmlns="3712f2ea-c80a-4882-97e5-e3b99cc679c4">KHFY5VDENEPW-1199204941-79854</_dlc_DocId>
    <_dlc_DocIdUrl xmlns="3712f2ea-c80a-4882-97e5-e3b99cc679c4">
      <Url>https://cf.sharepoint.com/teams/ILEPActionandOperationalPlans/_layouts/15/DocIdRedir.aspx?ID=KHFY5VDENEPW-1199204941-79854</Url>
      <Description>KHFY5VDENEPW-1199204941-79854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043712-9FEA-4E1F-B753-65369E51E5E4}">
  <ds:schemaRefs>
    <ds:schemaRef ds:uri="http://schemas.microsoft.com/sharepoint/v3/contenttype/forms"/>
  </ds:schemaRefs>
</ds:datastoreItem>
</file>

<file path=customXml/itemProps2.xml><?xml version="1.0" encoding="utf-8"?>
<ds:datastoreItem xmlns:ds="http://schemas.openxmlformats.org/officeDocument/2006/customXml" ds:itemID="{57568473-1C91-484A-B920-968CAADD998D}">
  <ds:schemaRefs>
    <ds:schemaRef ds:uri="http://schemas.openxmlformats.org/officeDocument/2006/bibliography"/>
  </ds:schemaRefs>
</ds:datastoreItem>
</file>

<file path=customXml/itemProps3.xml><?xml version="1.0" encoding="utf-8"?>
<ds:datastoreItem xmlns:ds="http://schemas.openxmlformats.org/officeDocument/2006/customXml" ds:itemID="{59DA3ECC-4894-46C3-BE34-4C7D30972C7C}"/>
</file>

<file path=customXml/itemProps4.xml><?xml version="1.0" encoding="utf-8"?>
<ds:datastoreItem xmlns:ds="http://schemas.openxmlformats.org/officeDocument/2006/customXml" ds:itemID="{181C8C71-9D56-446D-BB73-2AE841A3DEBE}">
  <ds:schemaRefs>
    <ds:schemaRef ds:uri="http://schemas.microsoft.com/office/2006/metadata/properties"/>
    <ds:schemaRef ds:uri="http://schemas.microsoft.com/office/infopath/2007/PartnerControls"/>
    <ds:schemaRef ds:uri="3712f2ea-c80a-4882-97e5-e3b99cc679c4"/>
    <ds:schemaRef ds:uri="2c953c63-71e5-4946-a7ed-b9134f4f0d9c"/>
  </ds:schemaRefs>
</ds:datastoreItem>
</file>

<file path=customXml/itemProps5.xml><?xml version="1.0" encoding="utf-8"?>
<ds:datastoreItem xmlns:ds="http://schemas.openxmlformats.org/officeDocument/2006/customXml" ds:itemID="{2B8B33AB-08FE-40D3-A712-40B23F68ECBC}"/>
</file>

<file path=docProps/app.xml><?xml version="1.0" encoding="utf-8"?>
<Properties xmlns="http://schemas.openxmlformats.org/officeDocument/2006/extended-properties" xmlns:vt="http://schemas.openxmlformats.org/officeDocument/2006/docPropsVTypes">
  <Template>Taith-WordDoc-Temp-v2 (page) (1)</Template>
  <TotalTime>1</TotalTime>
  <Pages>3</Pages>
  <Words>736</Words>
  <Characters>4201</Characters>
  <Application>Microsoft Office Word</Application>
  <DocSecurity>0</DocSecurity>
  <Lines>35</Lines>
  <Paragraphs>9</Paragraphs>
  <ScaleCrop>false</ScaleCrop>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Doherty</dc:creator>
  <cp:keywords/>
  <dc:description/>
  <cp:lastModifiedBy>Leah Doherty</cp:lastModifiedBy>
  <cp:revision>9</cp:revision>
  <dcterms:created xsi:type="dcterms:W3CDTF">2023-10-20T14:42:00Z</dcterms:created>
  <dcterms:modified xsi:type="dcterms:W3CDTF">2024-01-29T16:37:00Z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0x010100E6C3880C27775D439F8B21F79DE9D76B</vt:lpwstr>
  </property>
  <property fmtid="{D5CDD505-2E9C-101B-9397-08002B2CF9AE}" pid="3" name="MediaServiceImageTags">
    <vt:lpwstr/>
  </property>
  <property fmtid="{D5CDD505-2E9C-101B-9397-08002B2CF9AE}" pid="4" name="_dlc_DocIdItemGuid">
    <vt:lpwstr>d4010ad0-edac-48b6-970e-ffd6e8bbe9c2</vt:lpwstr>
  </property>
</Properties>
</file>